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75754" w14:textId="77777777" w:rsidR="00917BD9" w:rsidRPr="00917BD9" w:rsidRDefault="00917BD9" w:rsidP="00917BD9">
      <w:pPr>
        <w:rPr>
          <w:i/>
          <w:iCs/>
          <w:sz w:val="28"/>
          <w:szCs w:val="28"/>
        </w:rPr>
      </w:pPr>
      <w:r w:rsidRPr="00917BD9">
        <w:rPr>
          <w:i/>
          <w:iCs/>
          <w:sz w:val="28"/>
          <w:szCs w:val="28"/>
        </w:rPr>
        <w:t>Cost-Effective 28 GHz Class-AB Power Amplifier Implementation in 180-nm CMOS Technology for Next-Generation 5G Industrial Internet of Things Applications</w:t>
      </w:r>
    </w:p>
    <w:p w14:paraId="134FA5CC" w14:textId="188121AD" w:rsidR="002D0F65" w:rsidRDefault="00917BD9">
      <w:r w:rsidRPr="00917BD9">
        <w:t>This document contains supplementary figures and tables supporting the main manuscript, adhering to the 8-item limit in the primary text.</w:t>
      </w:r>
    </w:p>
    <w:p w14:paraId="46E10DA0" w14:textId="77777777" w:rsidR="00917BD9" w:rsidRDefault="00917BD9"/>
    <w:p w14:paraId="71F99154" w14:textId="317AD037" w:rsidR="00917BD9" w:rsidRDefault="00917BD9" w:rsidP="00917BD9">
      <w:pPr>
        <w:jc w:val="center"/>
        <w:rPr>
          <w:b/>
          <w:bCs/>
        </w:rPr>
      </w:pPr>
      <w:r w:rsidRPr="00917BD9">
        <w:rPr>
          <w:b/>
          <w:bCs/>
        </w:rPr>
        <w:t>Table S1: Detailed Comparison with prior 180-nm Work</w:t>
      </w:r>
    </w:p>
    <w:tbl>
      <w:tblPr>
        <w:tblW w:w="0" w:type="auto"/>
        <w:jc w:val="center"/>
        <w:tblBorders>
          <w:top w:val="single" w:sz="8" w:space="0" w:color="000000"/>
          <w:left w:val="nil"/>
          <w:bottom w:val="single" w:sz="8" w:space="0" w:color="000000"/>
          <w:right w:val="nil"/>
          <w:insideH w:val="single" w:sz="8" w:space="0" w:color="000000"/>
          <w:insideV w:val="nil"/>
        </w:tblBorders>
        <w:tblLook w:val="04A0" w:firstRow="1" w:lastRow="0" w:firstColumn="1" w:lastColumn="0" w:noHBand="0" w:noVBand="1"/>
      </w:tblPr>
      <w:tblGrid>
        <w:gridCol w:w="1874"/>
        <w:gridCol w:w="1870"/>
        <w:gridCol w:w="1870"/>
        <w:gridCol w:w="1873"/>
        <w:gridCol w:w="1873"/>
      </w:tblGrid>
      <w:tr w:rsidR="00FD58D4" w14:paraId="279E16A8" w14:textId="77777777" w:rsidTr="00FF55E6">
        <w:trPr>
          <w:jc w:val="center"/>
        </w:trPr>
        <w:tc>
          <w:tcPr>
            <w:tcW w:w="1881" w:type="dxa"/>
            <w:shd w:val="clear" w:color="auto" w:fill="1F497D"/>
          </w:tcPr>
          <w:p w14:paraId="04443D06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Parameters</w:t>
            </w:r>
          </w:p>
        </w:tc>
        <w:tc>
          <w:tcPr>
            <w:tcW w:w="1881" w:type="dxa"/>
            <w:shd w:val="clear" w:color="auto" w:fill="1F497D"/>
          </w:tcPr>
          <w:p w14:paraId="48E5BD56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Hasan et al. (2019)</w:t>
            </w:r>
          </w:p>
        </w:tc>
        <w:tc>
          <w:tcPr>
            <w:tcW w:w="1881" w:type="dxa"/>
            <w:shd w:val="clear" w:color="auto" w:fill="1F497D"/>
          </w:tcPr>
          <w:p w14:paraId="309D61E3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Hasan et al. (2020)</w:t>
            </w:r>
          </w:p>
        </w:tc>
        <w:tc>
          <w:tcPr>
            <w:tcW w:w="1881" w:type="dxa"/>
            <w:shd w:val="clear" w:color="auto" w:fill="1F497D"/>
          </w:tcPr>
          <w:p w14:paraId="20C10C8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This Work</w:t>
            </w:r>
          </w:p>
        </w:tc>
        <w:tc>
          <w:tcPr>
            <w:tcW w:w="1881" w:type="dxa"/>
            <w:shd w:val="clear" w:color="auto" w:fill="1F497D"/>
          </w:tcPr>
          <w:p w14:paraId="290B0A7D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Status</w:t>
            </w:r>
          </w:p>
        </w:tc>
      </w:tr>
      <w:tr w:rsidR="00FD58D4" w14:paraId="2DC08AB7" w14:textId="77777777" w:rsidTr="00FF55E6">
        <w:trPr>
          <w:jc w:val="center"/>
        </w:trPr>
        <w:tc>
          <w:tcPr>
            <w:tcW w:w="1881" w:type="dxa"/>
            <w:shd w:val="clear" w:color="auto" w:fill="FFFFFF"/>
          </w:tcPr>
          <w:p w14:paraId="76D7FC2D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Topology</w:t>
            </w:r>
          </w:p>
        </w:tc>
        <w:tc>
          <w:tcPr>
            <w:tcW w:w="1881" w:type="dxa"/>
            <w:shd w:val="clear" w:color="auto" w:fill="FFFFFF"/>
          </w:tcPr>
          <w:p w14:paraId="56F23FAF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Cascade</w:t>
            </w:r>
          </w:p>
        </w:tc>
        <w:tc>
          <w:tcPr>
            <w:tcW w:w="1881" w:type="dxa"/>
            <w:shd w:val="clear" w:color="auto" w:fill="FFFFFF"/>
          </w:tcPr>
          <w:p w14:paraId="268207C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Cascade</w:t>
            </w:r>
          </w:p>
        </w:tc>
        <w:tc>
          <w:tcPr>
            <w:tcW w:w="1881" w:type="dxa"/>
            <w:shd w:val="clear" w:color="auto" w:fill="FFFFFF"/>
          </w:tcPr>
          <w:p w14:paraId="6571F42D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Two-stage Class-AB</w:t>
            </w:r>
          </w:p>
        </w:tc>
        <w:tc>
          <w:tcPr>
            <w:tcW w:w="1881" w:type="dxa"/>
            <w:shd w:val="clear" w:color="auto" w:fill="FFFFFF"/>
          </w:tcPr>
          <w:p w14:paraId="5FB13EB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Different</w:t>
            </w:r>
          </w:p>
        </w:tc>
      </w:tr>
      <w:tr w:rsidR="00FD58D4" w14:paraId="13684E9F" w14:textId="77777777" w:rsidTr="00FF55E6">
        <w:trPr>
          <w:jc w:val="center"/>
        </w:trPr>
        <w:tc>
          <w:tcPr>
            <w:tcW w:w="1881" w:type="dxa"/>
            <w:shd w:val="clear" w:color="auto" w:fill="EBF3FB"/>
          </w:tcPr>
          <w:p w14:paraId="4E964ED8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Matching network</w:t>
            </w:r>
          </w:p>
        </w:tc>
        <w:tc>
          <w:tcPr>
            <w:tcW w:w="1881" w:type="dxa"/>
            <w:shd w:val="clear" w:color="auto" w:fill="EBF3FB"/>
          </w:tcPr>
          <w:p w14:paraId="775B8F6E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L-section</w:t>
            </w:r>
          </w:p>
        </w:tc>
        <w:tc>
          <w:tcPr>
            <w:tcW w:w="1881" w:type="dxa"/>
            <w:shd w:val="clear" w:color="auto" w:fill="EBF3FB"/>
          </w:tcPr>
          <w:p w14:paraId="0E9A5C6F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L-section</w:t>
            </w:r>
          </w:p>
        </w:tc>
        <w:tc>
          <w:tcPr>
            <w:tcW w:w="1881" w:type="dxa"/>
            <w:shd w:val="clear" w:color="auto" w:fill="EBF3FB"/>
          </w:tcPr>
          <w:p w14:paraId="52D8D056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T-type</w:t>
            </w:r>
          </w:p>
        </w:tc>
        <w:tc>
          <w:tcPr>
            <w:tcW w:w="1881" w:type="dxa"/>
            <w:shd w:val="clear" w:color="auto" w:fill="EBF3FB"/>
          </w:tcPr>
          <w:p w14:paraId="62BD4E0E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First T-type at 28 GHz / 180-nm</w:t>
            </w:r>
          </w:p>
        </w:tc>
      </w:tr>
      <w:tr w:rsidR="00FD58D4" w14:paraId="158CC322" w14:textId="77777777" w:rsidTr="00FF55E6">
        <w:trPr>
          <w:jc w:val="center"/>
        </w:trPr>
        <w:tc>
          <w:tcPr>
            <w:tcW w:w="1881" w:type="dxa"/>
            <w:shd w:val="clear" w:color="auto" w:fill="FFFFFF"/>
          </w:tcPr>
          <w:p w14:paraId="239CF3F1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RBB voltage (V)</w:t>
            </w:r>
          </w:p>
        </w:tc>
        <w:tc>
          <w:tcPr>
            <w:tcW w:w="1881" w:type="dxa"/>
            <w:shd w:val="clear" w:color="auto" w:fill="FFFFFF"/>
          </w:tcPr>
          <w:p w14:paraId="574737A5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−0.05</w:t>
            </w:r>
          </w:p>
        </w:tc>
        <w:tc>
          <w:tcPr>
            <w:tcW w:w="1881" w:type="dxa"/>
            <w:shd w:val="clear" w:color="auto" w:fill="FFFFFF"/>
          </w:tcPr>
          <w:p w14:paraId="622E9FA3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−0.6</w:t>
            </w:r>
          </w:p>
        </w:tc>
        <w:tc>
          <w:tcPr>
            <w:tcW w:w="1881" w:type="dxa"/>
            <w:shd w:val="clear" w:color="auto" w:fill="FFFFFF"/>
          </w:tcPr>
          <w:p w14:paraId="31AF233B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−0.8 (optimized)</w:t>
            </w:r>
          </w:p>
        </w:tc>
        <w:tc>
          <w:tcPr>
            <w:tcW w:w="1881" w:type="dxa"/>
            <w:shd w:val="clear" w:color="auto" w:fill="FFFFFF"/>
          </w:tcPr>
          <w:p w14:paraId="26E7614E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Systematic sweep</w:t>
            </w:r>
          </w:p>
        </w:tc>
      </w:tr>
      <w:tr w:rsidR="00FD58D4" w14:paraId="0867834E" w14:textId="77777777" w:rsidTr="00FF55E6">
        <w:trPr>
          <w:jc w:val="center"/>
        </w:trPr>
        <w:tc>
          <w:tcPr>
            <w:tcW w:w="1881" w:type="dxa"/>
            <w:shd w:val="clear" w:color="auto" w:fill="EBF3FB"/>
          </w:tcPr>
          <w:p w14:paraId="5426A201" w14:textId="77777777" w:rsidR="00FD58D4" w:rsidRDefault="00FD58D4" w:rsidP="00FF55E6">
            <w:pPr>
              <w:spacing w:before="40" w:after="40"/>
              <w:jc w:val="center"/>
            </w:pPr>
            <w:proofErr w:type="spellStart"/>
            <w:r>
              <w:rPr>
                <w:rFonts w:ascii="Times New Roman" w:hAnsi="Times New Roman"/>
                <w:sz w:val="20"/>
              </w:rPr>
              <w:t>Psat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(dBm)</w:t>
            </w:r>
          </w:p>
        </w:tc>
        <w:tc>
          <w:tcPr>
            <w:tcW w:w="1881" w:type="dxa"/>
            <w:shd w:val="clear" w:color="auto" w:fill="EBF3FB"/>
          </w:tcPr>
          <w:p w14:paraId="6921D21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14.2</w:t>
            </w:r>
          </w:p>
        </w:tc>
        <w:tc>
          <w:tcPr>
            <w:tcW w:w="1881" w:type="dxa"/>
            <w:shd w:val="clear" w:color="auto" w:fill="EBF3FB"/>
          </w:tcPr>
          <w:p w14:paraId="51865C87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15.1</w:t>
            </w:r>
          </w:p>
        </w:tc>
        <w:tc>
          <w:tcPr>
            <w:tcW w:w="1881" w:type="dxa"/>
            <w:shd w:val="clear" w:color="auto" w:fill="EBF3FB"/>
          </w:tcPr>
          <w:p w14:paraId="2A989783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13.43</w:t>
            </w:r>
          </w:p>
        </w:tc>
        <w:tc>
          <w:tcPr>
            <w:tcW w:w="1881" w:type="dxa"/>
            <w:shd w:val="clear" w:color="auto" w:fill="EBF3FB"/>
          </w:tcPr>
          <w:p w14:paraId="3AF948B8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−1.7 dB</w:t>
            </w:r>
          </w:p>
        </w:tc>
      </w:tr>
      <w:tr w:rsidR="00FD58D4" w14:paraId="4EDB99A7" w14:textId="77777777" w:rsidTr="00FF55E6">
        <w:trPr>
          <w:jc w:val="center"/>
        </w:trPr>
        <w:tc>
          <w:tcPr>
            <w:tcW w:w="1881" w:type="dxa"/>
            <w:shd w:val="clear" w:color="auto" w:fill="FFFFFF"/>
          </w:tcPr>
          <w:p w14:paraId="0624ED41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PAE (%)</w:t>
            </w:r>
          </w:p>
        </w:tc>
        <w:tc>
          <w:tcPr>
            <w:tcW w:w="1881" w:type="dxa"/>
            <w:shd w:val="clear" w:color="auto" w:fill="FFFFFF"/>
          </w:tcPr>
          <w:p w14:paraId="51AE86A4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15.3</w:t>
            </w:r>
          </w:p>
        </w:tc>
        <w:tc>
          <w:tcPr>
            <w:tcW w:w="1881" w:type="dxa"/>
            <w:shd w:val="clear" w:color="auto" w:fill="FFFFFF"/>
          </w:tcPr>
          <w:p w14:paraId="2F702BFA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16.8</w:t>
            </w:r>
          </w:p>
        </w:tc>
        <w:tc>
          <w:tcPr>
            <w:tcW w:w="1881" w:type="dxa"/>
            <w:shd w:val="clear" w:color="auto" w:fill="FFFFFF"/>
          </w:tcPr>
          <w:p w14:paraId="7D53ECF5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19.35</w:t>
            </w:r>
          </w:p>
        </w:tc>
        <w:tc>
          <w:tcPr>
            <w:tcW w:w="1881" w:type="dxa"/>
            <w:shd w:val="clear" w:color="auto" w:fill="FFFFFF"/>
          </w:tcPr>
          <w:p w14:paraId="17B67CBA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+15–26%</w:t>
            </w:r>
          </w:p>
        </w:tc>
      </w:tr>
      <w:tr w:rsidR="00FD58D4" w14:paraId="63E5454B" w14:textId="77777777" w:rsidTr="00FF55E6">
        <w:trPr>
          <w:jc w:val="center"/>
        </w:trPr>
        <w:tc>
          <w:tcPr>
            <w:tcW w:w="1881" w:type="dxa"/>
            <w:shd w:val="clear" w:color="auto" w:fill="EBF3FB"/>
          </w:tcPr>
          <w:p w14:paraId="59A26A57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Gain (dB)</w:t>
            </w:r>
          </w:p>
        </w:tc>
        <w:tc>
          <w:tcPr>
            <w:tcW w:w="1881" w:type="dxa"/>
            <w:shd w:val="clear" w:color="auto" w:fill="EBF3FB"/>
          </w:tcPr>
          <w:p w14:paraId="46D6812B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16.5</w:t>
            </w:r>
          </w:p>
        </w:tc>
        <w:tc>
          <w:tcPr>
            <w:tcW w:w="1881" w:type="dxa"/>
            <w:shd w:val="clear" w:color="auto" w:fill="EBF3FB"/>
          </w:tcPr>
          <w:p w14:paraId="2E26283D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17.2</w:t>
            </w:r>
          </w:p>
        </w:tc>
        <w:tc>
          <w:tcPr>
            <w:tcW w:w="1881" w:type="dxa"/>
            <w:shd w:val="clear" w:color="auto" w:fill="EBF3FB"/>
          </w:tcPr>
          <w:p w14:paraId="08E268EE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10.26</w:t>
            </w:r>
          </w:p>
        </w:tc>
        <w:tc>
          <w:tcPr>
            <w:tcW w:w="1881" w:type="dxa"/>
            <w:shd w:val="clear" w:color="auto" w:fill="EBF3FB"/>
          </w:tcPr>
          <w:p w14:paraId="70E031D9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−6.24 to −6.94 dB</w:t>
            </w:r>
          </w:p>
        </w:tc>
      </w:tr>
      <w:tr w:rsidR="00FD58D4" w14:paraId="172B03C7" w14:textId="77777777" w:rsidTr="00FF55E6">
        <w:trPr>
          <w:jc w:val="center"/>
        </w:trPr>
        <w:tc>
          <w:tcPr>
            <w:tcW w:w="1881" w:type="dxa"/>
            <w:shd w:val="clear" w:color="auto" w:fill="FFFFFF"/>
          </w:tcPr>
          <w:p w14:paraId="6DA04B00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BW (GHz)</w:t>
            </w:r>
          </w:p>
        </w:tc>
        <w:tc>
          <w:tcPr>
            <w:tcW w:w="1881" w:type="dxa"/>
            <w:shd w:val="clear" w:color="auto" w:fill="FFFFFF"/>
          </w:tcPr>
          <w:p w14:paraId="396A2966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N/R</w:t>
            </w:r>
          </w:p>
        </w:tc>
        <w:tc>
          <w:tcPr>
            <w:tcW w:w="1881" w:type="dxa"/>
            <w:shd w:val="clear" w:color="auto" w:fill="FFFFFF"/>
          </w:tcPr>
          <w:p w14:paraId="38C30532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N/R</w:t>
            </w:r>
          </w:p>
        </w:tc>
        <w:tc>
          <w:tcPr>
            <w:tcW w:w="1881" w:type="dxa"/>
            <w:shd w:val="clear" w:color="auto" w:fill="FFFFFF"/>
          </w:tcPr>
          <w:p w14:paraId="2CAB3285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4 (26–30 GHz)</w:t>
            </w:r>
          </w:p>
        </w:tc>
        <w:tc>
          <w:tcPr>
            <w:tcW w:w="1881" w:type="dxa"/>
            <w:shd w:val="clear" w:color="auto" w:fill="FFFFFF"/>
          </w:tcPr>
          <w:p w14:paraId="3EBDEC9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New data</w:t>
            </w:r>
          </w:p>
        </w:tc>
      </w:tr>
      <w:tr w:rsidR="00FD58D4" w14:paraId="5500B023" w14:textId="77777777" w:rsidTr="00FF55E6">
        <w:trPr>
          <w:jc w:val="center"/>
        </w:trPr>
        <w:tc>
          <w:tcPr>
            <w:tcW w:w="1881" w:type="dxa"/>
            <w:shd w:val="clear" w:color="auto" w:fill="EBF3FB"/>
          </w:tcPr>
          <w:p w14:paraId="683C9A5E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ACLR (</w:t>
            </w:r>
            <w:proofErr w:type="spellStart"/>
            <w:r>
              <w:rPr>
                <w:rFonts w:ascii="Times New Roman" w:hAnsi="Times New Roman"/>
                <w:sz w:val="20"/>
              </w:rPr>
              <w:t>dBc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881" w:type="dxa"/>
            <w:shd w:val="clear" w:color="auto" w:fill="EBF3FB"/>
          </w:tcPr>
          <w:p w14:paraId="77FB0760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N/R</w:t>
            </w:r>
          </w:p>
        </w:tc>
        <w:tc>
          <w:tcPr>
            <w:tcW w:w="1881" w:type="dxa"/>
            <w:shd w:val="clear" w:color="auto" w:fill="EBF3FB"/>
          </w:tcPr>
          <w:p w14:paraId="7456D80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N/R</w:t>
            </w:r>
          </w:p>
        </w:tc>
        <w:tc>
          <w:tcPr>
            <w:tcW w:w="1881" w:type="dxa"/>
            <w:shd w:val="clear" w:color="auto" w:fill="EBF3FB"/>
          </w:tcPr>
          <w:p w14:paraId="42AB2D09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−27</w:t>
            </w:r>
          </w:p>
        </w:tc>
        <w:tc>
          <w:tcPr>
            <w:tcW w:w="1881" w:type="dxa"/>
            <w:shd w:val="clear" w:color="auto" w:fill="EBF3FB"/>
          </w:tcPr>
          <w:p w14:paraId="3BEB82AB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5G NR compliant</w:t>
            </w:r>
          </w:p>
        </w:tc>
      </w:tr>
      <w:tr w:rsidR="00FD58D4" w14:paraId="0CC83365" w14:textId="77777777" w:rsidTr="00FF55E6">
        <w:trPr>
          <w:jc w:val="center"/>
        </w:trPr>
        <w:tc>
          <w:tcPr>
            <w:tcW w:w="1881" w:type="dxa"/>
            <w:shd w:val="clear" w:color="auto" w:fill="FFFFFF"/>
          </w:tcPr>
          <w:p w14:paraId="16721CA3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EVM (%)</w:t>
            </w:r>
          </w:p>
        </w:tc>
        <w:tc>
          <w:tcPr>
            <w:tcW w:w="1881" w:type="dxa"/>
            <w:shd w:val="clear" w:color="auto" w:fill="FFFFFF"/>
          </w:tcPr>
          <w:p w14:paraId="32C15E99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N/R</w:t>
            </w:r>
          </w:p>
        </w:tc>
        <w:tc>
          <w:tcPr>
            <w:tcW w:w="1881" w:type="dxa"/>
            <w:shd w:val="clear" w:color="auto" w:fill="FFFFFF"/>
          </w:tcPr>
          <w:p w14:paraId="3F56F510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N/R</w:t>
            </w:r>
          </w:p>
        </w:tc>
        <w:tc>
          <w:tcPr>
            <w:tcW w:w="1881" w:type="dxa"/>
            <w:shd w:val="clear" w:color="auto" w:fill="FFFFFF"/>
          </w:tcPr>
          <w:p w14:paraId="06044CB8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6.5</w:t>
            </w:r>
          </w:p>
        </w:tc>
        <w:tc>
          <w:tcPr>
            <w:tcW w:w="1881" w:type="dxa"/>
            <w:shd w:val="clear" w:color="auto" w:fill="FFFFFF"/>
          </w:tcPr>
          <w:p w14:paraId="6DFFE384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5G NR compliant</w:t>
            </w:r>
          </w:p>
        </w:tc>
      </w:tr>
    </w:tbl>
    <w:p w14:paraId="4910EDDD" w14:textId="77777777" w:rsidR="00917BD9" w:rsidRDefault="00917BD9" w:rsidP="00917BD9">
      <w:pPr>
        <w:rPr>
          <w:b/>
          <w:bCs/>
        </w:rPr>
      </w:pPr>
    </w:p>
    <w:p w14:paraId="06CD0B47" w14:textId="68489A28" w:rsidR="00917BD9" w:rsidRDefault="00917BD9" w:rsidP="00917BD9">
      <w:pPr>
        <w:rPr>
          <w:b/>
          <w:bCs/>
        </w:rPr>
      </w:pPr>
      <w:r>
        <w:rPr>
          <w:b/>
          <w:bCs/>
        </w:rPr>
        <w:t>Table S2: Cost-Benefit Analysis for 100,000-Node Deployment</w:t>
      </w:r>
    </w:p>
    <w:tbl>
      <w:tblPr>
        <w:tblW w:w="0" w:type="auto"/>
        <w:jc w:val="center"/>
        <w:tblBorders>
          <w:top w:val="single" w:sz="8" w:space="0" w:color="000000"/>
          <w:left w:val="nil"/>
          <w:bottom w:val="single" w:sz="8" w:space="0" w:color="000000"/>
          <w:right w:val="nil"/>
          <w:insideH w:val="single" w:sz="8" w:space="0" w:color="000000"/>
          <w:insideV w:val="nil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FD58D4" w14:paraId="699D2BB3" w14:textId="77777777" w:rsidTr="00FF55E6">
        <w:trPr>
          <w:jc w:val="center"/>
        </w:trPr>
        <w:tc>
          <w:tcPr>
            <w:tcW w:w="2351" w:type="dxa"/>
            <w:shd w:val="clear" w:color="auto" w:fill="1F497D"/>
          </w:tcPr>
          <w:p w14:paraId="5F182A61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Parameters</w:t>
            </w:r>
          </w:p>
        </w:tc>
        <w:tc>
          <w:tcPr>
            <w:tcW w:w="2351" w:type="dxa"/>
            <w:shd w:val="clear" w:color="auto" w:fill="1F497D"/>
          </w:tcPr>
          <w:p w14:paraId="3D1EAD78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180-nm (This Work)</w:t>
            </w:r>
          </w:p>
        </w:tc>
        <w:tc>
          <w:tcPr>
            <w:tcW w:w="2351" w:type="dxa"/>
            <w:shd w:val="clear" w:color="auto" w:fill="1F497D"/>
          </w:tcPr>
          <w:p w14:paraId="5CF1B374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65-nm</w:t>
            </w:r>
          </w:p>
        </w:tc>
        <w:tc>
          <w:tcPr>
            <w:tcW w:w="2351" w:type="dxa"/>
            <w:shd w:val="clear" w:color="auto" w:fill="1F497D"/>
          </w:tcPr>
          <w:p w14:paraId="3F7E4155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40-nm</w:t>
            </w:r>
          </w:p>
        </w:tc>
      </w:tr>
      <w:tr w:rsidR="00FD58D4" w14:paraId="3231FF5C" w14:textId="77777777" w:rsidTr="00FF55E6">
        <w:trPr>
          <w:jc w:val="center"/>
        </w:trPr>
        <w:tc>
          <w:tcPr>
            <w:tcW w:w="2351" w:type="dxa"/>
            <w:shd w:val="clear" w:color="auto" w:fill="FFFFFF"/>
          </w:tcPr>
          <w:p w14:paraId="4DA2595A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Die cost per PA ($)</w:t>
            </w:r>
          </w:p>
        </w:tc>
        <w:tc>
          <w:tcPr>
            <w:tcW w:w="2351" w:type="dxa"/>
            <w:shd w:val="clear" w:color="auto" w:fill="FFFFFF"/>
          </w:tcPr>
          <w:p w14:paraId="684ABE0A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0.07</w:t>
            </w:r>
          </w:p>
        </w:tc>
        <w:tc>
          <w:tcPr>
            <w:tcW w:w="2351" w:type="dxa"/>
            <w:shd w:val="clear" w:color="auto" w:fill="FFFFFF"/>
          </w:tcPr>
          <w:p w14:paraId="16697880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0.18</w:t>
            </w:r>
          </w:p>
        </w:tc>
        <w:tc>
          <w:tcPr>
            <w:tcW w:w="2351" w:type="dxa"/>
            <w:shd w:val="clear" w:color="auto" w:fill="FFFFFF"/>
          </w:tcPr>
          <w:p w14:paraId="67408B6F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0.29</w:t>
            </w:r>
          </w:p>
        </w:tc>
      </w:tr>
      <w:tr w:rsidR="00FD58D4" w14:paraId="40FEF5A6" w14:textId="77777777" w:rsidTr="00FF55E6">
        <w:trPr>
          <w:jc w:val="center"/>
        </w:trPr>
        <w:tc>
          <w:tcPr>
            <w:tcW w:w="2351" w:type="dxa"/>
            <w:shd w:val="clear" w:color="auto" w:fill="EBF3FB"/>
          </w:tcPr>
          <w:p w14:paraId="431E44B0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PCB area (mm²)</w:t>
            </w:r>
          </w:p>
        </w:tc>
        <w:tc>
          <w:tcPr>
            <w:tcW w:w="2351" w:type="dxa"/>
            <w:shd w:val="clear" w:color="auto" w:fill="EBF3FB"/>
          </w:tcPr>
          <w:p w14:paraId="7B3DECB9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351" w:type="dxa"/>
            <w:shd w:val="clear" w:color="auto" w:fill="EBF3FB"/>
          </w:tcPr>
          <w:p w14:paraId="11AF7EC7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2351" w:type="dxa"/>
            <w:shd w:val="clear" w:color="auto" w:fill="EBF3FB"/>
          </w:tcPr>
          <w:p w14:paraId="149F5EA7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</w:tr>
      <w:tr w:rsidR="00FD58D4" w14:paraId="1EB7A569" w14:textId="77777777" w:rsidTr="00FF55E6">
        <w:trPr>
          <w:jc w:val="center"/>
        </w:trPr>
        <w:tc>
          <w:tcPr>
            <w:tcW w:w="2351" w:type="dxa"/>
            <w:shd w:val="clear" w:color="auto" w:fill="FFFFFF"/>
          </w:tcPr>
          <w:p w14:paraId="1022B800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Total PA cost per node ($)</w:t>
            </w:r>
          </w:p>
        </w:tc>
        <w:tc>
          <w:tcPr>
            <w:tcW w:w="2351" w:type="dxa"/>
            <w:shd w:val="clear" w:color="auto" w:fill="FFFFFF"/>
          </w:tcPr>
          <w:p w14:paraId="1EF9918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1.87</w:t>
            </w:r>
          </w:p>
        </w:tc>
        <w:tc>
          <w:tcPr>
            <w:tcW w:w="2351" w:type="dxa"/>
            <w:shd w:val="clear" w:color="auto" w:fill="FFFFFF"/>
          </w:tcPr>
          <w:p w14:paraId="67516E84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2.91</w:t>
            </w:r>
          </w:p>
        </w:tc>
        <w:tc>
          <w:tcPr>
            <w:tcW w:w="2351" w:type="dxa"/>
            <w:shd w:val="clear" w:color="auto" w:fill="FFFFFF"/>
          </w:tcPr>
          <w:p w14:paraId="3A09A2CF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3.99</w:t>
            </w:r>
          </w:p>
        </w:tc>
      </w:tr>
      <w:tr w:rsidR="00FD58D4" w14:paraId="6F7EE184" w14:textId="77777777" w:rsidTr="00FF55E6">
        <w:trPr>
          <w:jc w:val="center"/>
        </w:trPr>
        <w:tc>
          <w:tcPr>
            <w:tcW w:w="2351" w:type="dxa"/>
            <w:shd w:val="clear" w:color="auto" w:fill="EBF3FB"/>
          </w:tcPr>
          <w:p w14:paraId="06516831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Total PA cost — 100k nodes</w:t>
            </w:r>
          </w:p>
        </w:tc>
        <w:tc>
          <w:tcPr>
            <w:tcW w:w="2351" w:type="dxa"/>
            <w:shd w:val="clear" w:color="auto" w:fill="EBF3FB"/>
          </w:tcPr>
          <w:p w14:paraId="7C16D85E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$187,000</w:t>
            </w:r>
          </w:p>
        </w:tc>
        <w:tc>
          <w:tcPr>
            <w:tcW w:w="2351" w:type="dxa"/>
            <w:shd w:val="clear" w:color="auto" w:fill="EBF3FB"/>
          </w:tcPr>
          <w:p w14:paraId="137793A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$291,000</w:t>
            </w:r>
          </w:p>
        </w:tc>
        <w:tc>
          <w:tcPr>
            <w:tcW w:w="2351" w:type="dxa"/>
            <w:shd w:val="clear" w:color="auto" w:fill="EBF3FB"/>
          </w:tcPr>
          <w:p w14:paraId="6D68FB55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$399,000</w:t>
            </w:r>
          </w:p>
        </w:tc>
      </w:tr>
      <w:tr w:rsidR="00FD58D4" w14:paraId="35037F78" w14:textId="77777777" w:rsidTr="00FF55E6">
        <w:trPr>
          <w:jc w:val="center"/>
        </w:trPr>
        <w:tc>
          <w:tcPr>
            <w:tcW w:w="2351" w:type="dxa"/>
            <w:shd w:val="clear" w:color="auto" w:fill="FFFFFF"/>
          </w:tcPr>
          <w:p w14:paraId="719E65AF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Cost savings vs. 65-nm</w:t>
            </w:r>
          </w:p>
        </w:tc>
        <w:tc>
          <w:tcPr>
            <w:tcW w:w="2351" w:type="dxa"/>
            <w:shd w:val="clear" w:color="auto" w:fill="FFFFFF"/>
          </w:tcPr>
          <w:p w14:paraId="64AFD798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$104,000</w:t>
            </w:r>
          </w:p>
        </w:tc>
        <w:tc>
          <w:tcPr>
            <w:tcW w:w="2351" w:type="dxa"/>
            <w:shd w:val="clear" w:color="auto" w:fill="FFFFFF"/>
          </w:tcPr>
          <w:p w14:paraId="48EEC726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14:paraId="0B5AC9F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—</w:t>
            </w:r>
          </w:p>
        </w:tc>
      </w:tr>
      <w:tr w:rsidR="00FD58D4" w14:paraId="5523F3FF" w14:textId="77777777" w:rsidTr="00FF55E6">
        <w:trPr>
          <w:jc w:val="center"/>
        </w:trPr>
        <w:tc>
          <w:tcPr>
            <w:tcW w:w="2351" w:type="dxa"/>
            <w:shd w:val="clear" w:color="auto" w:fill="EBF3FB"/>
          </w:tcPr>
          <w:p w14:paraId="623DFDE7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Average DC power (</w:t>
            </w:r>
            <w:proofErr w:type="spellStart"/>
            <w:r>
              <w:rPr>
                <w:rFonts w:ascii="Times New Roman" w:hAnsi="Times New Roman"/>
                <w:sz w:val="20"/>
              </w:rPr>
              <w:t>mW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351" w:type="dxa"/>
            <w:shd w:val="clear" w:color="auto" w:fill="EBF3FB"/>
          </w:tcPr>
          <w:p w14:paraId="7F42628D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142</w:t>
            </w:r>
          </w:p>
        </w:tc>
        <w:tc>
          <w:tcPr>
            <w:tcW w:w="2351" w:type="dxa"/>
            <w:shd w:val="clear" w:color="auto" w:fill="EBF3FB"/>
          </w:tcPr>
          <w:p w14:paraId="30CBC10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2351" w:type="dxa"/>
            <w:shd w:val="clear" w:color="auto" w:fill="EBF3FB"/>
          </w:tcPr>
          <w:p w14:paraId="13B9ACB9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</w:tr>
      <w:tr w:rsidR="00FD58D4" w14:paraId="58BE5A0A" w14:textId="77777777" w:rsidTr="00FF55E6">
        <w:trPr>
          <w:jc w:val="center"/>
        </w:trPr>
        <w:tc>
          <w:tcPr>
            <w:tcW w:w="2351" w:type="dxa"/>
            <w:shd w:val="clear" w:color="auto" w:fill="FFFFFF"/>
          </w:tcPr>
          <w:p w14:paraId="5F545FB7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10-year energy cost — 100k nodes</w:t>
            </w:r>
          </w:p>
        </w:tc>
        <w:tc>
          <w:tcPr>
            <w:tcW w:w="2351" w:type="dxa"/>
            <w:shd w:val="clear" w:color="auto" w:fill="FFFFFF"/>
          </w:tcPr>
          <w:p w14:paraId="42E8E6C4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$620,000</w:t>
            </w:r>
          </w:p>
        </w:tc>
        <w:tc>
          <w:tcPr>
            <w:tcW w:w="2351" w:type="dxa"/>
            <w:shd w:val="clear" w:color="auto" w:fill="FFFFFF"/>
          </w:tcPr>
          <w:p w14:paraId="7BE9CDA2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$410,000</w:t>
            </w:r>
          </w:p>
        </w:tc>
        <w:tc>
          <w:tcPr>
            <w:tcW w:w="2351" w:type="dxa"/>
            <w:shd w:val="clear" w:color="auto" w:fill="FFFFFF"/>
          </w:tcPr>
          <w:p w14:paraId="5382B749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$360,000</w:t>
            </w:r>
          </w:p>
        </w:tc>
      </w:tr>
      <w:tr w:rsidR="00FD58D4" w14:paraId="4F39DD5B" w14:textId="77777777" w:rsidTr="00FF55E6">
        <w:trPr>
          <w:jc w:val="center"/>
        </w:trPr>
        <w:tc>
          <w:tcPr>
            <w:tcW w:w="2351" w:type="dxa"/>
            <w:shd w:val="clear" w:color="auto" w:fill="EBF3FB"/>
          </w:tcPr>
          <w:p w14:paraId="19910867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Total 10-year TCO</w:t>
            </w:r>
          </w:p>
        </w:tc>
        <w:tc>
          <w:tcPr>
            <w:tcW w:w="2351" w:type="dxa"/>
            <w:shd w:val="clear" w:color="auto" w:fill="EBF3FB"/>
          </w:tcPr>
          <w:p w14:paraId="6BFC17EE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$807,000</w:t>
            </w:r>
          </w:p>
        </w:tc>
        <w:tc>
          <w:tcPr>
            <w:tcW w:w="2351" w:type="dxa"/>
            <w:shd w:val="clear" w:color="auto" w:fill="EBF3FB"/>
          </w:tcPr>
          <w:p w14:paraId="412EEE5C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$701,000</w:t>
            </w:r>
          </w:p>
        </w:tc>
        <w:tc>
          <w:tcPr>
            <w:tcW w:w="2351" w:type="dxa"/>
            <w:shd w:val="clear" w:color="auto" w:fill="EBF3FB"/>
          </w:tcPr>
          <w:p w14:paraId="407B24A6" w14:textId="77777777" w:rsidR="00FD58D4" w:rsidRDefault="00FD58D4" w:rsidP="00FF55E6">
            <w:pPr>
              <w:spacing w:before="40" w:after="40"/>
              <w:jc w:val="center"/>
            </w:pPr>
            <w:r>
              <w:rPr>
                <w:rFonts w:ascii="Times New Roman" w:hAnsi="Times New Roman"/>
                <w:sz w:val="20"/>
              </w:rPr>
              <w:t>$759,000</w:t>
            </w:r>
          </w:p>
        </w:tc>
      </w:tr>
    </w:tbl>
    <w:p w14:paraId="0FB07DD4" w14:textId="77777777" w:rsidR="00FD58D4" w:rsidRDefault="00FD58D4" w:rsidP="00917BD9">
      <w:pPr>
        <w:rPr>
          <w:b/>
          <w:bCs/>
        </w:rPr>
      </w:pPr>
    </w:p>
    <w:p w14:paraId="26BA1073" w14:textId="082D7670" w:rsidR="00917BD9" w:rsidRPr="00C272EC" w:rsidRDefault="00FD58D4" w:rsidP="00FD58D4">
      <w:pPr>
        <w:rPr>
          <w:rFonts w:ascii="Palatino Linotype" w:hAnsi="Palatino Linotype"/>
        </w:rPr>
      </w:pPr>
      <w:r w:rsidRPr="00C272EC">
        <w:rPr>
          <w:rFonts w:ascii="Palatino Linotype" w:eastAsia="MS Mincho" w:hAnsi="Palatino Linotype" w:cs="Arial"/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485F8E3E" wp14:editId="03FBCF52">
            <wp:simplePos x="0" y="0"/>
            <wp:positionH relativeFrom="column">
              <wp:posOffset>92075</wp:posOffset>
            </wp:positionH>
            <wp:positionV relativeFrom="paragraph">
              <wp:posOffset>3815715</wp:posOffset>
            </wp:positionV>
            <wp:extent cx="5781040" cy="2632710"/>
            <wp:effectExtent l="0" t="0" r="0" b="0"/>
            <wp:wrapSquare wrapText="bothSides"/>
            <wp:docPr id="549" name="Picture 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Picture 549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04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BD9" w:rsidRPr="00917BD9">
        <w:rPr>
          <w:rFonts w:ascii="Cambria" w:eastAsia="MS Mincho" w:hAnsi="Cambria" w:cs="Arial"/>
          <w:noProof/>
          <w14:ligatures w14:val="standardContextual"/>
        </w:rPr>
        <w:drawing>
          <wp:anchor distT="0" distB="0" distL="114300" distR="114300" simplePos="0" relativeHeight="251651584" behindDoc="0" locked="0" layoutInCell="1" allowOverlap="1" wp14:anchorId="5B3B98E8" wp14:editId="53A8754D">
            <wp:simplePos x="0" y="0"/>
            <wp:positionH relativeFrom="column">
              <wp:posOffset>-120650</wp:posOffset>
            </wp:positionH>
            <wp:positionV relativeFrom="paragraph">
              <wp:posOffset>17145</wp:posOffset>
            </wp:positionV>
            <wp:extent cx="5949315" cy="3416300"/>
            <wp:effectExtent l="0" t="0" r="0" b="0"/>
            <wp:wrapSquare wrapText="bothSides"/>
            <wp:docPr id="54631128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11282" name="Picture 5463112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315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BD9" w:rsidRPr="00C272EC">
        <w:rPr>
          <w:rFonts w:ascii="Palatino Linotype" w:hAnsi="Palatino Linotype"/>
        </w:rPr>
        <w:t>Figure S1: Stability analysis of the Class-AB power amplifier (K &gt; 1.3, µ &gt; 1.2).</w:t>
      </w:r>
    </w:p>
    <w:p w14:paraId="79100380" w14:textId="7BC9B5FD" w:rsidR="00917BD9" w:rsidRDefault="00C272EC" w:rsidP="00C272EC">
      <w:pPr>
        <w:jc w:val="center"/>
        <w:rPr>
          <w:rFonts w:ascii="Palatino Linotype" w:hAnsi="Palatino Linotype"/>
        </w:rPr>
      </w:pPr>
      <w:r w:rsidRPr="00C272EC">
        <w:rPr>
          <w:rFonts w:ascii="Palatino Linotype" w:hAnsi="Palatino Linotype"/>
        </w:rPr>
        <w:t>Figure S2: Back-off efficiency characteristics showing graceful efficiency roll-off.</w:t>
      </w:r>
    </w:p>
    <w:p w14:paraId="024D5852" w14:textId="4283BB8A" w:rsidR="00FD58D4" w:rsidRDefault="00FD58D4" w:rsidP="00C272EC">
      <w:pPr>
        <w:jc w:val="center"/>
        <w:rPr>
          <w:rFonts w:ascii="Palatino Linotype" w:hAnsi="Palatino Linotype"/>
        </w:rPr>
      </w:pPr>
    </w:p>
    <w:p w14:paraId="27BE62B4" w14:textId="77777777" w:rsidR="00FD58D4" w:rsidRDefault="00FD58D4" w:rsidP="00C272EC">
      <w:pPr>
        <w:jc w:val="center"/>
        <w:rPr>
          <w:rFonts w:ascii="Palatino Linotype" w:hAnsi="Palatino Linotype"/>
        </w:rPr>
      </w:pPr>
    </w:p>
    <w:p w14:paraId="42D100D0" w14:textId="77777777" w:rsidR="00FD58D4" w:rsidRDefault="00FD58D4" w:rsidP="00C272EC">
      <w:pPr>
        <w:jc w:val="center"/>
        <w:rPr>
          <w:rFonts w:ascii="Palatino Linotype" w:hAnsi="Palatino Linotype"/>
        </w:rPr>
      </w:pPr>
    </w:p>
    <w:p w14:paraId="457297C8" w14:textId="77777777" w:rsidR="00FD58D4" w:rsidRDefault="00FD58D4" w:rsidP="00C272EC">
      <w:pPr>
        <w:jc w:val="center"/>
        <w:rPr>
          <w:rFonts w:ascii="Palatino Linotype" w:hAnsi="Palatino Linotype"/>
        </w:rPr>
      </w:pPr>
    </w:p>
    <w:p w14:paraId="4DCA96D8" w14:textId="61FA3F56" w:rsidR="00C272EC" w:rsidRDefault="00FD58D4" w:rsidP="00FD58D4">
      <w:pPr>
        <w:jc w:val="center"/>
        <w:rPr>
          <w:rFonts w:ascii="Palatino Linotype" w:hAnsi="Palatino Linotype"/>
        </w:rPr>
      </w:pPr>
      <w:r w:rsidRPr="00C272EC">
        <w:rPr>
          <w:rFonts w:ascii="Times New Roman" w:eastAsia="MS Mincho" w:hAnsi="Times New Roman" w:cs="Times New Roman"/>
          <w:noProof/>
          <w:szCs w:val="24"/>
          <w:lang w:val="en-GB" w:eastAsia="de-DE"/>
          <w14:ligatures w14:val="standardContextual"/>
        </w:rPr>
        <w:lastRenderedPageBreak/>
        <w:drawing>
          <wp:anchor distT="0" distB="0" distL="114300" distR="114300" simplePos="0" relativeHeight="251660800" behindDoc="0" locked="0" layoutInCell="1" allowOverlap="1" wp14:anchorId="180426DF" wp14:editId="268CD609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43600" cy="3720696"/>
            <wp:effectExtent l="0" t="0" r="0" b="0"/>
            <wp:wrapSquare wrapText="bothSides"/>
            <wp:docPr id="21341253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25363" name="Picture 21341253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0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2EC" w:rsidRPr="00C272EC">
        <w:rPr>
          <w:rFonts w:ascii="Palatino Linotype" w:hAnsi="Palatino Linotype"/>
        </w:rPr>
        <w:t>Figure S3: Harmonics balance analysis showing second and third harmonic suppression.</w:t>
      </w:r>
    </w:p>
    <w:p w14:paraId="5704C42A" w14:textId="2B300481" w:rsidR="00C272EC" w:rsidRDefault="00FD58D4" w:rsidP="00FD58D4">
      <w:pPr>
        <w:jc w:val="center"/>
        <w:rPr>
          <w:rFonts w:ascii="Palatino Linotype" w:hAnsi="Palatino Linotype"/>
        </w:rPr>
      </w:pPr>
      <w:r w:rsidRPr="00C272EC">
        <w:rPr>
          <w:rFonts w:ascii="Cambria" w:eastAsia="MS Mincho" w:hAnsi="Cambria" w:cs="Arial"/>
          <w:noProof/>
          <w14:ligatures w14:val="standardContextual"/>
        </w:rPr>
        <w:drawing>
          <wp:anchor distT="0" distB="0" distL="114300" distR="114300" simplePos="0" relativeHeight="251662848" behindDoc="0" locked="0" layoutInCell="1" allowOverlap="1" wp14:anchorId="75C1E214" wp14:editId="47EB5BDD">
            <wp:simplePos x="0" y="0"/>
            <wp:positionH relativeFrom="column">
              <wp:posOffset>19050</wp:posOffset>
            </wp:positionH>
            <wp:positionV relativeFrom="paragraph">
              <wp:posOffset>184150</wp:posOffset>
            </wp:positionV>
            <wp:extent cx="5910580" cy="3713480"/>
            <wp:effectExtent l="0" t="0" r="0" b="1270"/>
            <wp:wrapSquare wrapText="bothSides"/>
            <wp:docPr id="5171538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53898" name="Picture 5171538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058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2EC" w:rsidRPr="00C272EC">
        <w:rPr>
          <w:rFonts w:ascii="Palatino Linotype" w:hAnsi="Palatino Linotype"/>
        </w:rPr>
        <w:t>Figure S4: Error Vector Magnitude (EVM) analysis for 64-QAM modulation.</w:t>
      </w:r>
    </w:p>
    <w:p w14:paraId="7A64E34B" w14:textId="3464FD5C" w:rsidR="00C272EC" w:rsidRDefault="00C272EC" w:rsidP="00C272EC">
      <w:pPr>
        <w:jc w:val="center"/>
        <w:rPr>
          <w:rFonts w:ascii="Palatino Linotype" w:hAnsi="Palatino Linotype"/>
        </w:rPr>
      </w:pPr>
      <w:r w:rsidRPr="00C272EC">
        <w:rPr>
          <w:rFonts w:ascii="Cambria" w:eastAsia="MS Mincho" w:hAnsi="Cambria" w:cs="Arial"/>
          <w:noProof/>
          <w14:ligatures w14:val="standardContextual"/>
        </w:rPr>
        <w:lastRenderedPageBreak/>
        <w:drawing>
          <wp:anchor distT="0" distB="0" distL="114300" distR="114300" simplePos="0" relativeHeight="251668992" behindDoc="0" locked="0" layoutInCell="1" allowOverlap="1" wp14:anchorId="2F5B81DA" wp14:editId="621DA697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5943600" cy="3564890"/>
            <wp:effectExtent l="0" t="0" r="0" b="0"/>
            <wp:wrapSquare wrapText="bothSides"/>
            <wp:docPr id="11441758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75820" name="Picture 11441758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7B8B1" w14:textId="6C298CD2" w:rsidR="00C272EC" w:rsidRDefault="00C272EC" w:rsidP="00FD58D4">
      <w:pPr>
        <w:jc w:val="center"/>
        <w:rPr>
          <w:rFonts w:ascii="Palatino Linotype" w:hAnsi="Palatino Linotype"/>
        </w:rPr>
      </w:pPr>
      <w:r w:rsidRPr="00C272EC">
        <w:rPr>
          <w:rFonts w:ascii="Palatino Linotype" w:hAnsi="Palatino Linotype"/>
        </w:rPr>
        <w:t>Figure S5: Adjacent Channel Leakage Ratio (ACLR) analysis demonstrating compliance with 5G NR standards.</w:t>
      </w:r>
    </w:p>
    <w:sectPr w:rsidR="00C272E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7FF8C" w14:textId="77777777" w:rsidR="00336564" w:rsidRDefault="00336564" w:rsidP="00917BD9">
      <w:pPr>
        <w:spacing w:after="0" w:line="240" w:lineRule="auto"/>
      </w:pPr>
      <w:r>
        <w:separator/>
      </w:r>
    </w:p>
  </w:endnote>
  <w:endnote w:type="continuationSeparator" w:id="0">
    <w:p w14:paraId="1485D75E" w14:textId="77777777" w:rsidR="00336564" w:rsidRDefault="00336564" w:rsidP="0091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A3FB" w14:textId="77777777" w:rsidR="00336564" w:rsidRDefault="00336564" w:rsidP="00917BD9">
      <w:pPr>
        <w:spacing w:after="0" w:line="240" w:lineRule="auto"/>
      </w:pPr>
      <w:r>
        <w:separator/>
      </w:r>
    </w:p>
  </w:footnote>
  <w:footnote w:type="continuationSeparator" w:id="0">
    <w:p w14:paraId="60BC4A5D" w14:textId="77777777" w:rsidR="00336564" w:rsidRDefault="00336564" w:rsidP="0091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6532" w14:textId="77777777" w:rsidR="00FD58D4" w:rsidRDefault="00FD58D4" w:rsidP="00FD58D4">
    <w:pPr>
      <w:spacing w:after="80" w:line="280" w:lineRule="exact"/>
      <w:jc w:val="center"/>
    </w:pPr>
    <w:r>
      <w:rPr>
        <w:rFonts w:ascii="Times New Roman" w:hAnsi="Times New Roman"/>
        <w:b/>
        <w:sz w:val="28"/>
      </w:rPr>
      <w:t>Supplementary Material</w:t>
    </w:r>
  </w:p>
  <w:p w14:paraId="41B76A07" w14:textId="5F1F27A9" w:rsidR="00917BD9" w:rsidRPr="00FD58D4" w:rsidRDefault="00917BD9" w:rsidP="00FD58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D9"/>
    <w:rsid w:val="001D4402"/>
    <w:rsid w:val="002D0F65"/>
    <w:rsid w:val="00336564"/>
    <w:rsid w:val="004701F3"/>
    <w:rsid w:val="00917BD9"/>
    <w:rsid w:val="00C01BE4"/>
    <w:rsid w:val="00C272EC"/>
    <w:rsid w:val="00FD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6C1CD"/>
  <w15:chartTrackingRefBased/>
  <w15:docId w15:val="{2AF0A5B6-7110-44D0-864E-349D41ED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D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D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B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BD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D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BD9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7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BD9"/>
  </w:style>
  <w:style w:type="paragraph" w:styleId="Footer">
    <w:name w:val="footer"/>
    <w:basedOn w:val="Normal"/>
    <w:link w:val="FooterChar"/>
    <w:uiPriority w:val="99"/>
    <w:unhideWhenUsed/>
    <w:rsid w:val="00917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Abdulmunam Abtan</dc:creator>
  <cp:keywords/>
  <dc:description/>
  <cp:lastModifiedBy>Abdulmunam Abtan</cp:lastModifiedBy>
  <cp:revision>2</cp:revision>
  <dcterms:created xsi:type="dcterms:W3CDTF">2026-05-14T22:34:00Z</dcterms:created>
  <dcterms:modified xsi:type="dcterms:W3CDTF">2026-05-15T21:20:00Z</dcterms:modified>
</cp:coreProperties>
</file>