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31E0" w14:textId="4E7ED0BD" w:rsidR="0004346F" w:rsidRPr="00A17F4B" w:rsidRDefault="0004346F" w:rsidP="0004346F">
      <w:pPr>
        <w:pStyle w:val="IJTechConflictofInterestTitle"/>
        <w:jc w:val="center"/>
      </w:pPr>
      <w:r w:rsidRPr="00A17F4B">
        <w:t xml:space="preserve">Supplementary </w:t>
      </w:r>
    </w:p>
    <w:p w14:paraId="73614DF1" w14:textId="77777777" w:rsidR="0004346F" w:rsidRPr="00A17F4B" w:rsidRDefault="0004346F" w:rsidP="0004346F">
      <w:pPr>
        <w:pStyle w:val="IJTechConflictofInterestTitle"/>
      </w:pPr>
      <w:r w:rsidRPr="00A17F4B">
        <w:rPr>
          <w:noProof/>
          <w:lang w:val="en-US" w:eastAsia="en-US"/>
        </w:rPr>
        <w:drawing>
          <wp:inline distT="0" distB="0" distL="0" distR="0" wp14:anchorId="237A1F4C" wp14:editId="5441FBA7">
            <wp:extent cx="6177915" cy="3943350"/>
            <wp:effectExtent l="0" t="0" r="0" b="0"/>
            <wp:docPr id="1029" name="Picture 2" descr="A diagram of a molecu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4" cstate="print"/>
                    <a:srcRect/>
                    <a:stretch/>
                  </pic:blipFill>
                  <pic:spPr>
                    <a:xfrm>
                      <a:off x="0" y="0"/>
                      <a:ext cx="6188298" cy="3949977"/>
                    </a:xfrm>
                    <a:prstGeom prst="rect">
                      <a:avLst/>
                    </a:prstGeom>
                    <a:ln>
                      <a:noFill/>
                    </a:ln>
                  </pic:spPr>
                </pic:pic>
              </a:graphicData>
            </a:graphic>
          </wp:inline>
        </w:drawing>
      </w:r>
    </w:p>
    <w:p w14:paraId="08311B7E" w14:textId="77777777" w:rsidR="00A17F4B" w:rsidRPr="00A17F4B" w:rsidRDefault="0004346F" w:rsidP="00A17F4B">
      <w:pPr>
        <w:pStyle w:val="IJTechConflictofInterestTitle"/>
        <w:spacing w:before="120" w:after="0"/>
        <w:ind w:left="144"/>
      </w:pPr>
      <w:r w:rsidRPr="00A17F4B">
        <w:t>Supplementary Figure 1. Structure of SPE based on FTIR Analysis</w:t>
      </w:r>
    </w:p>
    <w:p w14:paraId="76F80238" w14:textId="721AC62A" w:rsidR="0004346F" w:rsidRPr="00A17F4B" w:rsidRDefault="0004346F" w:rsidP="00A17F4B">
      <w:pPr>
        <w:pStyle w:val="IJTechConflictofInterestTitle"/>
        <w:spacing w:before="120" w:after="0"/>
        <w:ind w:left="144"/>
      </w:pPr>
      <w:r w:rsidRPr="00A17F4B">
        <w:t xml:space="preserve"> </w:t>
      </w:r>
    </w:p>
    <w:p w14:paraId="479D9754" w14:textId="7B2568FE" w:rsidR="00A17F4B" w:rsidRPr="00A17F4B" w:rsidRDefault="00A17F4B" w:rsidP="00A17F4B">
      <w:pPr>
        <w:spacing w:after="0"/>
        <w:rPr>
          <w:rFonts w:ascii="Palatino" w:hAnsi="Palatino"/>
          <w:b/>
          <w:bCs/>
          <w:lang w:val="en-US"/>
        </w:rPr>
      </w:pPr>
      <w:r w:rsidRPr="00A17F4B">
        <w:rPr>
          <w:rFonts w:ascii="Palatino" w:hAnsi="Palatino"/>
          <w:b/>
          <w:bCs/>
          <w:lang w:val="en-US"/>
        </w:rPr>
        <w:t>Table 1</w:t>
      </w:r>
      <w:r>
        <w:rPr>
          <w:rFonts w:ascii="Palatino" w:hAnsi="Palatino"/>
          <w:b/>
          <w:bCs/>
          <w:lang w:val="en-US"/>
        </w:rPr>
        <w:t xml:space="preserve"> </w:t>
      </w:r>
      <w:r w:rsidRPr="00A17F4B">
        <w:rPr>
          <w:rFonts w:ascii="Palatino" w:hAnsi="Palatino"/>
          <w:lang w:val="en-US"/>
        </w:rPr>
        <w:t>FWHM Calculation Table</w:t>
      </w:r>
    </w:p>
    <w:tbl>
      <w:tblPr>
        <w:tblW w:w="9072" w:type="dxa"/>
        <w:tblLayout w:type="fixed"/>
        <w:tblLook w:val="04A0" w:firstRow="1" w:lastRow="0" w:firstColumn="1" w:lastColumn="0" w:noHBand="0" w:noVBand="1"/>
      </w:tblPr>
      <w:tblGrid>
        <w:gridCol w:w="1985"/>
        <w:gridCol w:w="993"/>
        <w:gridCol w:w="991"/>
        <w:gridCol w:w="954"/>
        <w:gridCol w:w="1031"/>
        <w:gridCol w:w="955"/>
        <w:gridCol w:w="1029"/>
        <w:gridCol w:w="1134"/>
      </w:tblGrid>
      <w:tr w:rsidR="00A17F4B" w:rsidRPr="00A17F4B" w14:paraId="38ADB56D" w14:textId="77777777" w:rsidTr="00F51606">
        <w:trPr>
          <w:trHeight w:val="312"/>
        </w:trPr>
        <w:tc>
          <w:tcPr>
            <w:tcW w:w="1985" w:type="dxa"/>
            <w:vMerge w:val="restart"/>
            <w:tcBorders>
              <w:top w:val="single" w:sz="12" w:space="0" w:color="auto"/>
              <w:left w:val="nil"/>
              <w:bottom w:val="single" w:sz="12" w:space="0" w:color="auto"/>
              <w:right w:val="nil"/>
            </w:tcBorders>
            <w:shd w:val="clear" w:color="auto" w:fill="auto"/>
            <w:noWrap/>
            <w:vAlign w:val="center"/>
            <w:hideMark/>
          </w:tcPr>
          <w:p w14:paraId="03C33B19"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bookmarkStart w:id="0" w:name="RANGE!A1"/>
            <w:bookmarkStart w:id="1" w:name="_Hlk138276274" w:colFirst="1" w:colLast="9"/>
            <w:r w:rsidRPr="00A17F4B">
              <w:rPr>
                <w:rFonts w:ascii="Palatino" w:eastAsia="Times New Roman" w:hAnsi="Palatino"/>
                <w:color w:val="000000"/>
                <w:sz w:val="20"/>
                <w:szCs w:val="20"/>
                <w:lang w:val="en-US" w:eastAsia="en-ID"/>
              </w:rPr>
              <w:t>Samp</w:t>
            </w:r>
            <w:bookmarkEnd w:id="0"/>
            <w:r w:rsidRPr="00A17F4B">
              <w:rPr>
                <w:rFonts w:ascii="Palatino" w:eastAsia="Times New Roman" w:hAnsi="Palatino"/>
                <w:color w:val="000000"/>
                <w:sz w:val="20"/>
                <w:szCs w:val="20"/>
                <w:lang w:val="en-US" w:eastAsia="en-ID"/>
              </w:rPr>
              <w:t>le</w:t>
            </w:r>
          </w:p>
        </w:tc>
        <w:tc>
          <w:tcPr>
            <w:tcW w:w="1984" w:type="dxa"/>
            <w:gridSpan w:val="2"/>
            <w:tcBorders>
              <w:top w:val="single" w:sz="12" w:space="0" w:color="auto"/>
              <w:left w:val="nil"/>
              <w:bottom w:val="single" w:sz="12" w:space="0" w:color="auto"/>
              <w:right w:val="nil"/>
            </w:tcBorders>
            <w:shd w:val="clear" w:color="auto" w:fill="auto"/>
            <w:noWrap/>
            <w:vAlign w:val="center"/>
            <w:hideMark/>
          </w:tcPr>
          <w:p w14:paraId="73BEEFCB"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Peak 1</w:t>
            </w:r>
          </w:p>
        </w:tc>
        <w:tc>
          <w:tcPr>
            <w:tcW w:w="1985" w:type="dxa"/>
            <w:gridSpan w:val="2"/>
            <w:tcBorders>
              <w:top w:val="single" w:sz="12" w:space="0" w:color="auto"/>
              <w:left w:val="nil"/>
              <w:bottom w:val="single" w:sz="12" w:space="0" w:color="auto"/>
              <w:right w:val="nil"/>
            </w:tcBorders>
            <w:shd w:val="clear" w:color="auto" w:fill="auto"/>
            <w:noWrap/>
            <w:vAlign w:val="center"/>
            <w:hideMark/>
          </w:tcPr>
          <w:p w14:paraId="7F02240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Peak 2</w:t>
            </w:r>
          </w:p>
        </w:tc>
        <w:tc>
          <w:tcPr>
            <w:tcW w:w="1984" w:type="dxa"/>
            <w:gridSpan w:val="2"/>
            <w:tcBorders>
              <w:top w:val="single" w:sz="12" w:space="0" w:color="auto"/>
              <w:left w:val="nil"/>
              <w:bottom w:val="single" w:sz="12" w:space="0" w:color="auto"/>
              <w:right w:val="nil"/>
            </w:tcBorders>
            <w:shd w:val="clear" w:color="auto" w:fill="auto"/>
            <w:noWrap/>
            <w:vAlign w:val="center"/>
            <w:hideMark/>
          </w:tcPr>
          <w:p w14:paraId="102DD061"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Peak 3</w:t>
            </w:r>
          </w:p>
        </w:tc>
        <w:tc>
          <w:tcPr>
            <w:tcW w:w="1134" w:type="dxa"/>
            <w:tcBorders>
              <w:top w:val="single" w:sz="12" w:space="0" w:color="auto"/>
              <w:left w:val="nil"/>
              <w:bottom w:val="single" w:sz="12" w:space="0" w:color="auto"/>
              <w:right w:val="nil"/>
            </w:tcBorders>
            <w:shd w:val="clear" w:color="auto" w:fill="auto"/>
            <w:noWrap/>
            <w:vAlign w:val="center"/>
            <w:hideMark/>
          </w:tcPr>
          <w:p w14:paraId="489FE1FE"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FWHM avg. (°)</w:t>
            </w:r>
          </w:p>
        </w:tc>
      </w:tr>
      <w:tr w:rsidR="00A17F4B" w:rsidRPr="00A17F4B" w14:paraId="73A0C3AF" w14:textId="77777777" w:rsidTr="00F51606">
        <w:trPr>
          <w:trHeight w:val="312"/>
        </w:trPr>
        <w:tc>
          <w:tcPr>
            <w:tcW w:w="1985" w:type="dxa"/>
            <w:vMerge/>
            <w:tcBorders>
              <w:top w:val="single" w:sz="12" w:space="0" w:color="auto"/>
              <w:left w:val="nil"/>
              <w:bottom w:val="single" w:sz="12" w:space="0" w:color="auto"/>
              <w:right w:val="nil"/>
            </w:tcBorders>
            <w:vAlign w:val="center"/>
            <w:hideMark/>
          </w:tcPr>
          <w:p w14:paraId="7B15DC81" w14:textId="77777777" w:rsidR="00A17F4B" w:rsidRPr="00A17F4B" w:rsidRDefault="00A17F4B" w:rsidP="00A17F4B">
            <w:pPr>
              <w:spacing w:after="0" w:line="240" w:lineRule="auto"/>
              <w:rPr>
                <w:rFonts w:ascii="Palatino" w:eastAsia="Times New Roman" w:hAnsi="Palatino"/>
                <w:color w:val="000000"/>
                <w:sz w:val="20"/>
                <w:szCs w:val="20"/>
                <w:lang w:eastAsia="en-ID"/>
              </w:rPr>
            </w:pPr>
          </w:p>
        </w:tc>
        <w:tc>
          <w:tcPr>
            <w:tcW w:w="993" w:type="dxa"/>
            <w:tcBorders>
              <w:top w:val="single" w:sz="12" w:space="0" w:color="auto"/>
              <w:left w:val="nil"/>
              <w:bottom w:val="single" w:sz="12" w:space="0" w:color="auto"/>
              <w:right w:val="nil"/>
            </w:tcBorders>
            <w:shd w:val="clear" w:color="auto" w:fill="auto"/>
            <w:noWrap/>
            <w:vAlign w:val="center"/>
            <w:hideMark/>
          </w:tcPr>
          <w:p w14:paraId="10B92CC3" w14:textId="77777777" w:rsidR="00A17F4B" w:rsidRPr="00A17F4B" w:rsidRDefault="00A17F4B" w:rsidP="00A17F4B">
            <w:pPr>
              <w:spacing w:after="0" w:line="240" w:lineRule="auto"/>
              <w:jc w:val="center"/>
              <w:rPr>
                <w:rFonts w:ascii="Palatino" w:eastAsia="Times New Roman" w:hAnsi="Palatino"/>
                <w:color w:val="000000"/>
                <w:sz w:val="20"/>
                <w:szCs w:val="20"/>
                <w:lang w:val="en-US" w:eastAsia="en-ID"/>
              </w:rPr>
            </w:pPr>
            <w:r w:rsidRPr="00A17F4B">
              <w:rPr>
                <w:rFonts w:ascii="Palatino" w:eastAsia="Times New Roman" w:hAnsi="Palatino"/>
                <w:color w:val="000000"/>
                <w:sz w:val="20"/>
                <w:szCs w:val="20"/>
                <w:lang w:val="en-US" w:eastAsia="en-ID"/>
              </w:rPr>
              <w:t>2</w:t>
            </w:r>
            <w:r w:rsidRPr="00A17F4B">
              <w:rPr>
                <w:rFonts w:ascii="Cambria" w:eastAsia="Times New Roman" w:hAnsi="Cambria" w:cs="Cambria"/>
                <w:color w:val="000000"/>
                <w:sz w:val="20"/>
                <w:szCs w:val="20"/>
                <w:lang w:val="en-US" w:eastAsia="en-ID"/>
              </w:rPr>
              <w:t>θ</w:t>
            </w:r>
          </w:p>
          <w:p w14:paraId="2AF6FDE6"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991" w:type="dxa"/>
            <w:tcBorders>
              <w:top w:val="single" w:sz="12" w:space="0" w:color="auto"/>
              <w:left w:val="nil"/>
              <w:bottom w:val="single" w:sz="12" w:space="0" w:color="auto"/>
              <w:right w:val="nil"/>
            </w:tcBorders>
            <w:shd w:val="clear" w:color="auto" w:fill="auto"/>
            <w:noWrap/>
            <w:vAlign w:val="center"/>
            <w:hideMark/>
          </w:tcPr>
          <w:p w14:paraId="607717DA" w14:textId="77777777" w:rsidR="00A17F4B" w:rsidRPr="00A17F4B" w:rsidRDefault="00A17F4B" w:rsidP="00A17F4B">
            <w:pPr>
              <w:spacing w:after="0" w:line="240" w:lineRule="auto"/>
              <w:jc w:val="center"/>
              <w:rPr>
                <w:rFonts w:ascii="Palatino" w:eastAsia="Times New Roman" w:hAnsi="Palatino"/>
                <w:color w:val="000000"/>
                <w:sz w:val="20"/>
                <w:szCs w:val="20"/>
                <w:lang w:val="en-US" w:eastAsia="en-ID"/>
              </w:rPr>
            </w:pPr>
            <w:r w:rsidRPr="00A17F4B">
              <w:rPr>
                <w:rFonts w:ascii="Palatino" w:eastAsia="Times New Roman" w:hAnsi="Palatino"/>
                <w:color w:val="000000"/>
                <w:sz w:val="20"/>
                <w:szCs w:val="20"/>
                <w:lang w:val="en-US" w:eastAsia="en-ID"/>
              </w:rPr>
              <w:t>FWHM</w:t>
            </w:r>
          </w:p>
          <w:p w14:paraId="53DAE1FB"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954" w:type="dxa"/>
            <w:tcBorders>
              <w:top w:val="single" w:sz="12" w:space="0" w:color="auto"/>
              <w:left w:val="nil"/>
              <w:bottom w:val="single" w:sz="12" w:space="0" w:color="auto"/>
              <w:right w:val="nil"/>
            </w:tcBorders>
            <w:shd w:val="clear" w:color="auto" w:fill="auto"/>
            <w:noWrap/>
            <w:vAlign w:val="center"/>
            <w:hideMark/>
          </w:tcPr>
          <w:p w14:paraId="0F1C4795" w14:textId="77777777" w:rsidR="00A17F4B" w:rsidRPr="00A17F4B" w:rsidRDefault="00A17F4B" w:rsidP="00A17F4B">
            <w:pPr>
              <w:spacing w:after="0" w:line="240" w:lineRule="auto"/>
              <w:jc w:val="center"/>
              <w:rPr>
                <w:rFonts w:ascii="Palatino" w:eastAsia="Times New Roman" w:hAnsi="Palatino"/>
                <w:color w:val="000000"/>
                <w:sz w:val="20"/>
                <w:szCs w:val="20"/>
                <w:lang w:val="en-US" w:eastAsia="en-ID"/>
              </w:rPr>
            </w:pPr>
            <w:r w:rsidRPr="00A17F4B">
              <w:rPr>
                <w:rFonts w:ascii="Palatino" w:eastAsia="Times New Roman" w:hAnsi="Palatino"/>
                <w:color w:val="000000"/>
                <w:sz w:val="20"/>
                <w:szCs w:val="20"/>
                <w:lang w:val="en-US" w:eastAsia="en-ID"/>
              </w:rPr>
              <w:t>2</w:t>
            </w:r>
            <w:r w:rsidRPr="00A17F4B">
              <w:rPr>
                <w:rFonts w:ascii="Cambria" w:eastAsia="Times New Roman" w:hAnsi="Cambria" w:cs="Cambria"/>
                <w:color w:val="000000"/>
                <w:sz w:val="20"/>
                <w:szCs w:val="20"/>
                <w:lang w:val="en-US" w:eastAsia="en-ID"/>
              </w:rPr>
              <w:t>θ</w:t>
            </w:r>
          </w:p>
          <w:p w14:paraId="4AF2DA19"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1031" w:type="dxa"/>
            <w:tcBorders>
              <w:top w:val="single" w:sz="12" w:space="0" w:color="auto"/>
              <w:left w:val="nil"/>
              <w:bottom w:val="single" w:sz="12" w:space="0" w:color="auto"/>
              <w:right w:val="nil"/>
            </w:tcBorders>
            <w:shd w:val="clear" w:color="auto" w:fill="auto"/>
            <w:noWrap/>
            <w:vAlign w:val="center"/>
            <w:hideMark/>
          </w:tcPr>
          <w:p w14:paraId="61A5C90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FWHM</w:t>
            </w:r>
          </w:p>
          <w:p w14:paraId="301EB4A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955" w:type="dxa"/>
            <w:tcBorders>
              <w:top w:val="single" w:sz="12" w:space="0" w:color="auto"/>
              <w:left w:val="nil"/>
              <w:bottom w:val="single" w:sz="12" w:space="0" w:color="auto"/>
              <w:right w:val="nil"/>
            </w:tcBorders>
            <w:shd w:val="clear" w:color="auto" w:fill="auto"/>
            <w:noWrap/>
            <w:vAlign w:val="center"/>
            <w:hideMark/>
          </w:tcPr>
          <w:p w14:paraId="2504C4E8" w14:textId="77777777" w:rsidR="00A17F4B" w:rsidRPr="00A17F4B" w:rsidRDefault="00A17F4B" w:rsidP="00A17F4B">
            <w:pPr>
              <w:spacing w:after="0" w:line="240" w:lineRule="auto"/>
              <w:jc w:val="center"/>
              <w:rPr>
                <w:rFonts w:ascii="Palatino" w:eastAsia="Times New Roman" w:hAnsi="Palatino"/>
                <w:color w:val="000000"/>
                <w:sz w:val="20"/>
                <w:szCs w:val="20"/>
                <w:lang w:val="en-US" w:eastAsia="en-ID"/>
              </w:rPr>
            </w:pPr>
            <w:r w:rsidRPr="00A17F4B">
              <w:rPr>
                <w:rFonts w:ascii="Palatino" w:eastAsia="Times New Roman" w:hAnsi="Palatino"/>
                <w:color w:val="000000"/>
                <w:sz w:val="20"/>
                <w:szCs w:val="20"/>
                <w:lang w:val="en-US" w:eastAsia="en-ID"/>
              </w:rPr>
              <w:t>2</w:t>
            </w:r>
            <w:r w:rsidRPr="00A17F4B">
              <w:rPr>
                <w:rFonts w:ascii="Cambria" w:eastAsia="Times New Roman" w:hAnsi="Cambria" w:cs="Cambria"/>
                <w:color w:val="000000"/>
                <w:sz w:val="20"/>
                <w:szCs w:val="20"/>
                <w:lang w:val="en-US" w:eastAsia="en-ID"/>
              </w:rPr>
              <w:t>θ</w:t>
            </w:r>
          </w:p>
          <w:p w14:paraId="4302BD2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1029" w:type="dxa"/>
            <w:tcBorders>
              <w:top w:val="single" w:sz="12" w:space="0" w:color="auto"/>
              <w:left w:val="nil"/>
              <w:bottom w:val="single" w:sz="12" w:space="0" w:color="auto"/>
              <w:right w:val="nil"/>
            </w:tcBorders>
            <w:shd w:val="clear" w:color="auto" w:fill="auto"/>
            <w:noWrap/>
            <w:vAlign w:val="center"/>
            <w:hideMark/>
          </w:tcPr>
          <w:p w14:paraId="5B1EE525" w14:textId="77777777" w:rsidR="00A17F4B" w:rsidRPr="00A17F4B" w:rsidRDefault="00A17F4B" w:rsidP="00A17F4B">
            <w:pPr>
              <w:spacing w:after="0" w:line="240" w:lineRule="auto"/>
              <w:jc w:val="center"/>
              <w:rPr>
                <w:rFonts w:ascii="Palatino" w:eastAsia="Times New Roman" w:hAnsi="Palatino"/>
                <w:color w:val="000000"/>
                <w:sz w:val="20"/>
                <w:szCs w:val="20"/>
                <w:lang w:val="en-US" w:eastAsia="en-ID"/>
              </w:rPr>
            </w:pPr>
            <w:r w:rsidRPr="00A17F4B">
              <w:rPr>
                <w:rFonts w:ascii="Palatino" w:eastAsia="Times New Roman" w:hAnsi="Palatino"/>
                <w:color w:val="000000"/>
                <w:sz w:val="20"/>
                <w:szCs w:val="20"/>
                <w:lang w:val="en-US" w:eastAsia="en-ID"/>
              </w:rPr>
              <w:t>FWHM</w:t>
            </w:r>
          </w:p>
          <w:p w14:paraId="4B4998D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w:t>
            </w:r>
          </w:p>
        </w:tc>
        <w:tc>
          <w:tcPr>
            <w:tcW w:w="1134" w:type="dxa"/>
            <w:tcBorders>
              <w:top w:val="single" w:sz="12" w:space="0" w:color="auto"/>
              <w:left w:val="nil"/>
              <w:bottom w:val="single" w:sz="12" w:space="0" w:color="auto"/>
              <w:right w:val="nil"/>
            </w:tcBorders>
            <w:vAlign w:val="center"/>
            <w:hideMark/>
          </w:tcPr>
          <w:p w14:paraId="6178D56E" w14:textId="77777777" w:rsidR="00A17F4B" w:rsidRPr="00A17F4B" w:rsidRDefault="00A17F4B" w:rsidP="00A17F4B">
            <w:pPr>
              <w:spacing w:after="0" w:line="240" w:lineRule="auto"/>
              <w:rPr>
                <w:rFonts w:ascii="Palatino" w:eastAsia="Times New Roman" w:hAnsi="Palatino"/>
                <w:color w:val="000000"/>
                <w:sz w:val="20"/>
                <w:szCs w:val="20"/>
                <w:lang w:eastAsia="en-ID"/>
              </w:rPr>
            </w:pPr>
          </w:p>
        </w:tc>
      </w:tr>
      <w:tr w:rsidR="00A17F4B" w:rsidRPr="00A17F4B" w14:paraId="55DE1ABF" w14:textId="77777777" w:rsidTr="00F51606">
        <w:trPr>
          <w:trHeight w:val="312"/>
        </w:trPr>
        <w:tc>
          <w:tcPr>
            <w:tcW w:w="1985" w:type="dxa"/>
            <w:tcBorders>
              <w:top w:val="single" w:sz="12" w:space="0" w:color="auto"/>
              <w:left w:val="nil"/>
              <w:bottom w:val="nil"/>
              <w:right w:val="nil"/>
            </w:tcBorders>
            <w:shd w:val="clear" w:color="auto" w:fill="auto"/>
            <w:noWrap/>
            <w:vAlign w:val="center"/>
            <w:hideMark/>
          </w:tcPr>
          <w:p w14:paraId="798011E6"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CS</w:t>
            </w:r>
          </w:p>
        </w:tc>
        <w:tc>
          <w:tcPr>
            <w:tcW w:w="993" w:type="dxa"/>
            <w:tcBorders>
              <w:top w:val="single" w:sz="12" w:space="0" w:color="auto"/>
              <w:left w:val="nil"/>
              <w:bottom w:val="nil"/>
              <w:right w:val="nil"/>
            </w:tcBorders>
            <w:shd w:val="clear" w:color="auto" w:fill="auto"/>
            <w:noWrap/>
            <w:vAlign w:val="center"/>
            <w:hideMark/>
          </w:tcPr>
          <w:p w14:paraId="413B922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15</w:t>
            </w:r>
          </w:p>
        </w:tc>
        <w:tc>
          <w:tcPr>
            <w:tcW w:w="991" w:type="dxa"/>
            <w:tcBorders>
              <w:top w:val="single" w:sz="12" w:space="0" w:color="auto"/>
              <w:left w:val="nil"/>
              <w:bottom w:val="nil"/>
              <w:right w:val="nil"/>
            </w:tcBorders>
            <w:shd w:val="clear" w:color="auto" w:fill="auto"/>
            <w:noWrap/>
            <w:vAlign w:val="center"/>
            <w:hideMark/>
          </w:tcPr>
          <w:p w14:paraId="2563984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0.834</w:t>
            </w:r>
          </w:p>
        </w:tc>
        <w:tc>
          <w:tcPr>
            <w:tcW w:w="954" w:type="dxa"/>
            <w:tcBorders>
              <w:top w:val="single" w:sz="12" w:space="0" w:color="auto"/>
              <w:left w:val="nil"/>
              <w:bottom w:val="nil"/>
              <w:right w:val="nil"/>
            </w:tcBorders>
            <w:shd w:val="clear" w:color="auto" w:fill="auto"/>
            <w:noWrap/>
            <w:vAlign w:val="center"/>
            <w:hideMark/>
          </w:tcPr>
          <w:p w14:paraId="78D66E2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17</w:t>
            </w:r>
          </w:p>
        </w:tc>
        <w:tc>
          <w:tcPr>
            <w:tcW w:w="1031" w:type="dxa"/>
            <w:tcBorders>
              <w:top w:val="single" w:sz="12" w:space="0" w:color="auto"/>
              <w:left w:val="nil"/>
              <w:bottom w:val="nil"/>
              <w:right w:val="nil"/>
            </w:tcBorders>
            <w:shd w:val="clear" w:color="auto" w:fill="auto"/>
            <w:noWrap/>
            <w:vAlign w:val="center"/>
            <w:hideMark/>
          </w:tcPr>
          <w:p w14:paraId="554DBAFE"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0.262</w:t>
            </w:r>
          </w:p>
        </w:tc>
        <w:tc>
          <w:tcPr>
            <w:tcW w:w="955" w:type="dxa"/>
            <w:tcBorders>
              <w:top w:val="single" w:sz="12" w:space="0" w:color="auto"/>
              <w:left w:val="nil"/>
              <w:bottom w:val="nil"/>
              <w:right w:val="nil"/>
            </w:tcBorders>
            <w:shd w:val="clear" w:color="auto" w:fill="auto"/>
            <w:noWrap/>
            <w:vAlign w:val="center"/>
            <w:hideMark/>
          </w:tcPr>
          <w:p w14:paraId="220B8BD9"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17.5</w:t>
            </w:r>
          </w:p>
        </w:tc>
        <w:tc>
          <w:tcPr>
            <w:tcW w:w="1029" w:type="dxa"/>
            <w:tcBorders>
              <w:top w:val="single" w:sz="12" w:space="0" w:color="auto"/>
              <w:left w:val="nil"/>
              <w:bottom w:val="nil"/>
              <w:right w:val="nil"/>
            </w:tcBorders>
            <w:shd w:val="clear" w:color="auto" w:fill="auto"/>
            <w:noWrap/>
            <w:vAlign w:val="center"/>
            <w:hideMark/>
          </w:tcPr>
          <w:p w14:paraId="3000DB0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0.756</w:t>
            </w:r>
          </w:p>
        </w:tc>
        <w:tc>
          <w:tcPr>
            <w:tcW w:w="1134" w:type="dxa"/>
            <w:tcBorders>
              <w:top w:val="single" w:sz="12" w:space="0" w:color="auto"/>
              <w:left w:val="nil"/>
              <w:bottom w:val="nil"/>
              <w:right w:val="nil"/>
            </w:tcBorders>
            <w:shd w:val="clear" w:color="auto" w:fill="auto"/>
            <w:noWrap/>
            <w:vAlign w:val="center"/>
            <w:hideMark/>
          </w:tcPr>
          <w:p w14:paraId="2BE045AF"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0.618</w:t>
            </w:r>
          </w:p>
        </w:tc>
      </w:tr>
      <w:tr w:rsidR="00A17F4B" w:rsidRPr="00A17F4B" w14:paraId="387FE66B" w14:textId="77777777" w:rsidTr="00F51606">
        <w:trPr>
          <w:trHeight w:val="140"/>
        </w:trPr>
        <w:tc>
          <w:tcPr>
            <w:tcW w:w="1985" w:type="dxa"/>
            <w:tcBorders>
              <w:top w:val="nil"/>
              <w:left w:val="nil"/>
              <w:bottom w:val="nil"/>
              <w:right w:val="nil"/>
            </w:tcBorders>
            <w:shd w:val="clear" w:color="auto" w:fill="auto"/>
            <w:vAlign w:val="center"/>
            <w:hideMark/>
          </w:tcPr>
          <w:p w14:paraId="44B4F8D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val="en-US" w:eastAsia="en-ID"/>
              </w:rPr>
              <w:t>CSGY</w:t>
            </w:r>
          </w:p>
        </w:tc>
        <w:tc>
          <w:tcPr>
            <w:tcW w:w="993" w:type="dxa"/>
            <w:tcBorders>
              <w:top w:val="nil"/>
              <w:left w:val="nil"/>
              <w:bottom w:val="nil"/>
              <w:right w:val="nil"/>
            </w:tcBorders>
            <w:shd w:val="clear" w:color="auto" w:fill="auto"/>
            <w:noWrap/>
            <w:vAlign w:val="center"/>
            <w:hideMark/>
          </w:tcPr>
          <w:p w14:paraId="6DBC0A3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15</w:t>
            </w:r>
          </w:p>
        </w:tc>
        <w:tc>
          <w:tcPr>
            <w:tcW w:w="991" w:type="dxa"/>
            <w:tcBorders>
              <w:top w:val="nil"/>
              <w:left w:val="nil"/>
              <w:bottom w:val="nil"/>
              <w:right w:val="nil"/>
            </w:tcBorders>
            <w:shd w:val="clear" w:color="auto" w:fill="auto"/>
            <w:noWrap/>
            <w:vAlign w:val="center"/>
            <w:hideMark/>
          </w:tcPr>
          <w:p w14:paraId="61E05783"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0.665</w:t>
            </w:r>
          </w:p>
        </w:tc>
        <w:tc>
          <w:tcPr>
            <w:tcW w:w="954" w:type="dxa"/>
            <w:tcBorders>
              <w:top w:val="nil"/>
              <w:left w:val="nil"/>
              <w:bottom w:val="nil"/>
              <w:right w:val="nil"/>
            </w:tcBorders>
            <w:shd w:val="clear" w:color="auto" w:fill="auto"/>
            <w:noWrap/>
            <w:vAlign w:val="center"/>
            <w:hideMark/>
          </w:tcPr>
          <w:p w14:paraId="768A28B5"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19.7</w:t>
            </w:r>
          </w:p>
        </w:tc>
        <w:tc>
          <w:tcPr>
            <w:tcW w:w="1031" w:type="dxa"/>
            <w:tcBorders>
              <w:top w:val="nil"/>
              <w:left w:val="nil"/>
              <w:bottom w:val="nil"/>
              <w:right w:val="nil"/>
            </w:tcBorders>
            <w:shd w:val="clear" w:color="auto" w:fill="auto"/>
            <w:noWrap/>
            <w:vAlign w:val="center"/>
            <w:hideMark/>
          </w:tcPr>
          <w:p w14:paraId="2D48AC1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0.818</w:t>
            </w:r>
          </w:p>
        </w:tc>
        <w:tc>
          <w:tcPr>
            <w:tcW w:w="955" w:type="dxa"/>
            <w:tcBorders>
              <w:top w:val="nil"/>
              <w:left w:val="nil"/>
              <w:bottom w:val="nil"/>
              <w:right w:val="nil"/>
            </w:tcBorders>
            <w:shd w:val="clear" w:color="auto" w:fill="auto"/>
            <w:noWrap/>
            <w:vAlign w:val="center"/>
            <w:hideMark/>
          </w:tcPr>
          <w:p w14:paraId="57FE4CB6"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22.07</w:t>
            </w:r>
          </w:p>
        </w:tc>
        <w:tc>
          <w:tcPr>
            <w:tcW w:w="1029" w:type="dxa"/>
            <w:tcBorders>
              <w:top w:val="nil"/>
              <w:left w:val="nil"/>
              <w:bottom w:val="nil"/>
              <w:right w:val="nil"/>
            </w:tcBorders>
            <w:shd w:val="clear" w:color="auto" w:fill="auto"/>
            <w:noWrap/>
            <w:vAlign w:val="center"/>
            <w:hideMark/>
          </w:tcPr>
          <w:p w14:paraId="51D1CCF7"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0.864</w:t>
            </w:r>
          </w:p>
        </w:tc>
        <w:tc>
          <w:tcPr>
            <w:tcW w:w="1134" w:type="dxa"/>
            <w:tcBorders>
              <w:top w:val="nil"/>
              <w:left w:val="nil"/>
              <w:bottom w:val="nil"/>
              <w:right w:val="nil"/>
            </w:tcBorders>
            <w:shd w:val="clear" w:color="auto" w:fill="auto"/>
            <w:noWrap/>
            <w:vAlign w:val="center"/>
            <w:hideMark/>
          </w:tcPr>
          <w:p w14:paraId="78B0FA51"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0.841</w:t>
            </w:r>
          </w:p>
        </w:tc>
      </w:tr>
      <w:tr w:rsidR="00A17F4B" w:rsidRPr="00A17F4B" w14:paraId="6ED397A6" w14:textId="77777777" w:rsidTr="00F51606">
        <w:trPr>
          <w:trHeight w:val="312"/>
        </w:trPr>
        <w:tc>
          <w:tcPr>
            <w:tcW w:w="1985" w:type="dxa"/>
            <w:tcBorders>
              <w:top w:val="nil"/>
              <w:left w:val="nil"/>
              <w:bottom w:val="nil"/>
              <w:right w:val="nil"/>
            </w:tcBorders>
            <w:shd w:val="clear" w:color="auto" w:fill="auto"/>
            <w:noWrap/>
            <w:vAlign w:val="center"/>
            <w:hideMark/>
          </w:tcPr>
          <w:p w14:paraId="1DB76D6A"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proofErr w:type="spellStart"/>
            <w:r w:rsidRPr="00A17F4B">
              <w:rPr>
                <w:rFonts w:ascii="Palatino" w:eastAsia="Times New Roman" w:hAnsi="Palatino"/>
                <w:color w:val="000000"/>
                <w:sz w:val="20"/>
                <w:szCs w:val="20"/>
                <w:lang w:val="en-US" w:eastAsia="en-ID"/>
              </w:rPr>
              <w:t>CSLa</w:t>
            </w:r>
            <w:proofErr w:type="spellEnd"/>
          </w:p>
        </w:tc>
        <w:tc>
          <w:tcPr>
            <w:tcW w:w="993" w:type="dxa"/>
            <w:tcBorders>
              <w:top w:val="nil"/>
              <w:left w:val="nil"/>
              <w:bottom w:val="nil"/>
              <w:right w:val="nil"/>
            </w:tcBorders>
            <w:shd w:val="clear" w:color="auto" w:fill="auto"/>
            <w:noWrap/>
            <w:vAlign w:val="center"/>
            <w:hideMark/>
          </w:tcPr>
          <w:p w14:paraId="20ED4D7B"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16.9</w:t>
            </w:r>
          </w:p>
        </w:tc>
        <w:tc>
          <w:tcPr>
            <w:tcW w:w="991" w:type="dxa"/>
            <w:tcBorders>
              <w:top w:val="nil"/>
              <w:left w:val="nil"/>
              <w:bottom w:val="nil"/>
              <w:right w:val="nil"/>
            </w:tcBorders>
            <w:shd w:val="clear" w:color="auto" w:fill="auto"/>
            <w:noWrap/>
            <w:vAlign w:val="center"/>
            <w:hideMark/>
          </w:tcPr>
          <w:p w14:paraId="4AC23695"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1.074</w:t>
            </w:r>
          </w:p>
        </w:tc>
        <w:tc>
          <w:tcPr>
            <w:tcW w:w="954" w:type="dxa"/>
            <w:tcBorders>
              <w:top w:val="nil"/>
              <w:left w:val="nil"/>
              <w:bottom w:val="nil"/>
              <w:right w:val="nil"/>
            </w:tcBorders>
            <w:shd w:val="clear" w:color="auto" w:fill="auto"/>
            <w:noWrap/>
            <w:vAlign w:val="center"/>
            <w:hideMark/>
          </w:tcPr>
          <w:p w14:paraId="17B4D63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19.3</w:t>
            </w:r>
          </w:p>
        </w:tc>
        <w:tc>
          <w:tcPr>
            <w:tcW w:w="1031" w:type="dxa"/>
            <w:tcBorders>
              <w:top w:val="nil"/>
              <w:left w:val="nil"/>
              <w:bottom w:val="nil"/>
              <w:right w:val="nil"/>
            </w:tcBorders>
            <w:shd w:val="clear" w:color="auto" w:fill="auto"/>
            <w:noWrap/>
            <w:vAlign w:val="center"/>
            <w:hideMark/>
          </w:tcPr>
          <w:p w14:paraId="0F8B890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1.139</w:t>
            </w:r>
          </w:p>
        </w:tc>
        <w:tc>
          <w:tcPr>
            <w:tcW w:w="955" w:type="dxa"/>
            <w:tcBorders>
              <w:top w:val="nil"/>
              <w:left w:val="nil"/>
              <w:bottom w:val="nil"/>
              <w:right w:val="nil"/>
            </w:tcBorders>
            <w:shd w:val="clear" w:color="auto" w:fill="auto"/>
            <w:noWrap/>
            <w:vAlign w:val="center"/>
            <w:hideMark/>
          </w:tcPr>
          <w:p w14:paraId="7715759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22.2</w:t>
            </w:r>
          </w:p>
        </w:tc>
        <w:tc>
          <w:tcPr>
            <w:tcW w:w="1029" w:type="dxa"/>
            <w:tcBorders>
              <w:top w:val="nil"/>
              <w:left w:val="nil"/>
              <w:bottom w:val="nil"/>
              <w:right w:val="nil"/>
            </w:tcBorders>
            <w:shd w:val="clear" w:color="auto" w:fill="auto"/>
            <w:noWrap/>
            <w:vAlign w:val="center"/>
            <w:hideMark/>
          </w:tcPr>
          <w:p w14:paraId="0D4DE33A"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1.224</w:t>
            </w:r>
          </w:p>
        </w:tc>
        <w:tc>
          <w:tcPr>
            <w:tcW w:w="1134" w:type="dxa"/>
            <w:tcBorders>
              <w:top w:val="nil"/>
              <w:left w:val="nil"/>
              <w:bottom w:val="nil"/>
              <w:right w:val="nil"/>
            </w:tcBorders>
            <w:shd w:val="clear" w:color="auto" w:fill="auto"/>
            <w:noWrap/>
            <w:vAlign w:val="center"/>
            <w:hideMark/>
          </w:tcPr>
          <w:p w14:paraId="0012DDC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1.146</w:t>
            </w:r>
          </w:p>
        </w:tc>
      </w:tr>
      <w:tr w:rsidR="00A17F4B" w:rsidRPr="00A17F4B" w14:paraId="7A1E465E" w14:textId="77777777" w:rsidTr="00F51606">
        <w:trPr>
          <w:trHeight w:val="312"/>
        </w:trPr>
        <w:tc>
          <w:tcPr>
            <w:tcW w:w="1985" w:type="dxa"/>
            <w:tcBorders>
              <w:top w:val="nil"/>
              <w:left w:val="nil"/>
              <w:bottom w:val="nil"/>
              <w:right w:val="nil"/>
            </w:tcBorders>
            <w:shd w:val="clear" w:color="auto" w:fill="auto"/>
            <w:noWrap/>
            <w:vAlign w:val="center"/>
            <w:hideMark/>
          </w:tcPr>
          <w:p w14:paraId="466DB28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proofErr w:type="spellStart"/>
            <w:proofErr w:type="gramStart"/>
            <w:r w:rsidRPr="00A17F4B">
              <w:rPr>
                <w:rFonts w:ascii="Palatino" w:eastAsia="Times New Roman" w:hAnsi="Palatino"/>
                <w:color w:val="000000"/>
                <w:sz w:val="20"/>
                <w:szCs w:val="20"/>
                <w:lang w:val="en-US" w:eastAsia="en-ID"/>
              </w:rPr>
              <w:t>CSLa:GO</w:t>
            </w:r>
            <w:proofErr w:type="spellEnd"/>
            <w:proofErr w:type="gramEnd"/>
            <w:r w:rsidRPr="00A17F4B">
              <w:rPr>
                <w:rFonts w:ascii="Palatino" w:eastAsia="Times New Roman" w:hAnsi="Palatino"/>
                <w:color w:val="000000"/>
                <w:sz w:val="20"/>
                <w:szCs w:val="20"/>
                <w:lang w:val="en-US" w:eastAsia="en-ID"/>
              </w:rPr>
              <w:t xml:space="preserve"> 0.5%</w:t>
            </w:r>
          </w:p>
        </w:tc>
        <w:tc>
          <w:tcPr>
            <w:tcW w:w="993" w:type="dxa"/>
            <w:tcBorders>
              <w:top w:val="nil"/>
              <w:left w:val="nil"/>
              <w:bottom w:val="nil"/>
              <w:right w:val="nil"/>
            </w:tcBorders>
            <w:shd w:val="clear" w:color="auto" w:fill="auto"/>
            <w:noWrap/>
            <w:vAlign w:val="center"/>
            <w:hideMark/>
          </w:tcPr>
          <w:p w14:paraId="7966592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16.95</w:t>
            </w:r>
          </w:p>
        </w:tc>
        <w:tc>
          <w:tcPr>
            <w:tcW w:w="991" w:type="dxa"/>
            <w:tcBorders>
              <w:top w:val="nil"/>
              <w:left w:val="nil"/>
              <w:bottom w:val="nil"/>
              <w:right w:val="nil"/>
            </w:tcBorders>
            <w:shd w:val="clear" w:color="auto" w:fill="auto"/>
            <w:noWrap/>
            <w:vAlign w:val="center"/>
            <w:hideMark/>
          </w:tcPr>
          <w:p w14:paraId="66762565"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1.077</w:t>
            </w:r>
          </w:p>
        </w:tc>
        <w:tc>
          <w:tcPr>
            <w:tcW w:w="954" w:type="dxa"/>
            <w:tcBorders>
              <w:top w:val="nil"/>
              <w:left w:val="nil"/>
              <w:bottom w:val="nil"/>
              <w:right w:val="nil"/>
            </w:tcBorders>
            <w:shd w:val="clear" w:color="auto" w:fill="auto"/>
            <w:noWrap/>
            <w:vAlign w:val="center"/>
            <w:hideMark/>
          </w:tcPr>
          <w:p w14:paraId="5D858EC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19.38</w:t>
            </w:r>
          </w:p>
        </w:tc>
        <w:tc>
          <w:tcPr>
            <w:tcW w:w="1031" w:type="dxa"/>
            <w:tcBorders>
              <w:top w:val="nil"/>
              <w:left w:val="nil"/>
              <w:bottom w:val="nil"/>
              <w:right w:val="nil"/>
            </w:tcBorders>
            <w:shd w:val="clear" w:color="auto" w:fill="auto"/>
            <w:noWrap/>
            <w:vAlign w:val="center"/>
            <w:hideMark/>
          </w:tcPr>
          <w:p w14:paraId="67C412A8"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2.408</w:t>
            </w:r>
          </w:p>
        </w:tc>
        <w:tc>
          <w:tcPr>
            <w:tcW w:w="955" w:type="dxa"/>
            <w:tcBorders>
              <w:top w:val="nil"/>
              <w:left w:val="nil"/>
              <w:bottom w:val="nil"/>
              <w:right w:val="nil"/>
            </w:tcBorders>
            <w:shd w:val="clear" w:color="auto" w:fill="auto"/>
            <w:noWrap/>
            <w:vAlign w:val="center"/>
            <w:hideMark/>
          </w:tcPr>
          <w:p w14:paraId="680C9C1B"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22.12</w:t>
            </w:r>
          </w:p>
        </w:tc>
        <w:tc>
          <w:tcPr>
            <w:tcW w:w="1029" w:type="dxa"/>
            <w:tcBorders>
              <w:top w:val="nil"/>
              <w:left w:val="nil"/>
              <w:bottom w:val="nil"/>
              <w:right w:val="nil"/>
            </w:tcBorders>
            <w:shd w:val="clear" w:color="auto" w:fill="auto"/>
            <w:noWrap/>
            <w:vAlign w:val="center"/>
            <w:hideMark/>
          </w:tcPr>
          <w:p w14:paraId="46CDB949"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1.338</w:t>
            </w:r>
          </w:p>
        </w:tc>
        <w:tc>
          <w:tcPr>
            <w:tcW w:w="1134" w:type="dxa"/>
            <w:tcBorders>
              <w:top w:val="nil"/>
              <w:left w:val="nil"/>
              <w:bottom w:val="nil"/>
              <w:right w:val="nil"/>
            </w:tcBorders>
            <w:shd w:val="clear" w:color="auto" w:fill="auto"/>
            <w:noWrap/>
            <w:vAlign w:val="center"/>
            <w:hideMark/>
          </w:tcPr>
          <w:p w14:paraId="5D49FA9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1.608</w:t>
            </w:r>
          </w:p>
        </w:tc>
      </w:tr>
      <w:tr w:rsidR="00A17F4B" w:rsidRPr="00A17F4B" w14:paraId="01BB8AE8" w14:textId="77777777" w:rsidTr="00F51606">
        <w:trPr>
          <w:trHeight w:val="312"/>
        </w:trPr>
        <w:tc>
          <w:tcPr>
            <w:tcW w:w="1985" w:type="dxa"/>
            <w:tcBorders>
              <w:top w:val="nil"/>
              <w:left w:val="nil"/>
              <w:bottom w:val="nil"/>
              <w:right w:val="nil"/>
            </w:tcBorders>
            <w:shd w:val="clear" w:color="auto" w:fill="auto"/>
            <w:noWrap/>
            <w:vAlign w:val="center"/>
            <w:hideMark/>
          </w:tcPr>
          <w:p w14:paraId="767E7F1A"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proofErr w:type="spellStart"/>
            <w:proofErr w:type="gramStart"/>
            <w:r w:rsidRPr="00A17F4B">
              <w:rPr>
                <w:rFonts w:ascii="Palatino" w:eastAsia="Times New Roman" w:hAnsi="Palatino"/>
                <w:color w:val="000000"/>
                <w:sz w:val="20"/>
                <w:szCs w:val="20"/>
                <w:lang w:val="en-US" w:eastAsia="en-ID"/>
              </w:rPr>
              <w:t>CSLa:GO</w:t>
            </w:r>
            <w:proofErr w:type="spellEnd"/>
            <w:proofErr w:type="gramEnd"/>
            <w:r w:rsidRPr="00A17F4B">
              <w:rPr>
                <w:rFonts w:ascii="Palatino" w:eastAsia="Times New Roman" w:hAnsi="Palatino"/>
                <w:color w:val="000000"/>
                <w:sz w:val="20"/>
                <w:szCs w:val="20"/>
                <w:lang w:val="en-US" w:eastAsia="en-ID"/>
              </w:rPr>
              <w:t xml:space="preserve"> 1%</w:t>
            </w:r>
          </w:p>
        </w:tc>
        <w:tc>
          <w:tcPr>
            <w:tcW w:w="993" w:type="dxa"/>
            <w:tcBorders>
              <w:top w:val="nil"/>
              <w:left w:val="nil"/>
              <w:bottom w:val="nil"/>
              <w:right w:val="nil"/>
            </w:tcBorders>
            <w:shd w:val="clear" w:color="auto" w:fill="auto"/>
            <w:noWrap/>
            <w:vAlign w:val="center"/>
            <w:hideMark/>
          </w:tcPr>
          <w:p w14:paraId="6DDF0B7E"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16.83</w:t>
            </w:r>
          </w:p>
        </w:tc>
        <w:tc>
          <w:tcPr>
            <w:tcW w:w="991" w:type="dxa"/>
            <w:tcBorders>
              <w:top w:val="nil"/>
              <w:left w:val="nil"/>
              <w:bottom w:val="nil"/>
              <w:right w:val="nil"/>
            </w:tcBorders>
            <w:shd w:val="clear" w:color="auto" w:fill="auto"/>
            <w:noWrap/>
            <w:vAlign w:val="center"/>
            <w:hideMark/>
          </w:tcPr>
          <w:p w14:paraId="20C8D52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1.075</w:t>
            </w:r>
          </w:p>
        </w:tc>
        <w:tc>
          <w:tcPr>
            <w:tcW w:w="954" w:type="dxa"/>
            <w:tcBorders>
              <w:top w:val="nil"/>
              <w:left w:val="nil"/>
              <w:bottom w:val="nil"/>
              <w:right w:val="nil"/>
            </w:tcBorders>
            <w:shd w:val="clear" w:color="auto" w:fill="auto"/>
            <w:noWrap/>
            <w:vAlign w:val="center"/>
            <w:hideMark/>
          </w:tcPr>
          <w:p w14:paraId="53A57D0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19.21</w:t>
            </w:r>
          </w:p>
        </w:tc>
        <w:tc>
          <w:tcPr>
            <w:tcW w:w="1031" w:type="dxa"/>
            <w:tcBorders>
              <w:top w:val="nil"/>
              <w:left w:val="nil"/>
              <w:bottom w:val="nil"/>
              <w:right w:val="nil"/>
            </w:tcBorders>
            <w:shd w:val="clear" w:color="auto" w:fill="auto"/>
            <w:noWrap/>
            <w:vAlign w:val="center"/>
            <w:hideMark/>
          </w:tcPr>
          <w:p w14:paraId="0EB9485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2.388</w:t>
            </w:r>
          </w:p>
        </w:tc>
        <w:tc>
          <w:tcPr>
            <w:tcW w:w="955" w:type="dxa"/>
            <w:tcBorders>
              <w:top w:val="nil"/>
              <w:left w:val="nil"/>
              <w:bottom w:val="nil"/>
              <w:right w:val="nil"/>
            </w:tcBorders>
            <w:shd w:val="clear" w:color="auto" w:fill="auto"/>
            <w:noWrap/>
            <w:vAlign w:val="center"/>
            <w:hideMark/>
          </w:tcPr>
          <w:p w14:paraId="7517DA55"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21.88</w:t>
            </w:r>
          </w:p>
        </w:tc>
        <w:tc>
          <w:tcPr>
            <w:tcW w:w="1029" w:type="dxa"/>
            <w:tcBorders>
              <w:top w:val="nil"/>
              <w:left w:val="nil"/>
              <w:bottom w:val="nil"/>
              <w:right w:val="nil"/>
            </w:tcBorders>
            <w:shd w:val="clear" w:color="auto" w:fill="auto"/>
            <w:noWrap/>
            <w:vAlign w:val="center"/>
            <w:hideMark/>
          </w:tcPr>
          <w:p w14:paraId="2F1FF4B4"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1.404</w:t>
            </w:r>
          </w:p>
        </w:tc>
        <w:tc>
          <w:tcPr>
            <w:tcW w:w="1134" w:type="dxa"/>
            <w:tcBorders>
              <w:top w:val="nil"/>
              <w:left w:val="nil"/>
              <w:bottom w:val="nil"/>
              <w:right w:val="nil"/>
            </w:tcBorders>
            <w:shd w:val="clear" w:color="auto" w:fill="auto"/>
            <w:noWrap/>
            <w:vAlign w:val="center"/>
            <w:hideMark/>
          </w:tcPr>
          <w:p w14:paraId="77FB60C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1.622</w:t>
            </w:r>
          </w:p>
        </w:tc>
      </w:tr>
      <w:tr w:rsidR="00A17F4B" w:rsidRPr="00A17F4B" w14:paraId="176C2036" w14:textId="77777777" w:rsidTr="00F51606">
        <w:trPr>
          <w:trHeight w:val="312"/>
        </w:trPr>
        <w:tc>
          <w:tcPr>
            <w:tcW w:w="1985" w:type="dxa"/>
            <w:tcBorders>
              <w:top w:val="nil"/>
              <w:left w:val="nil"/>
              <w:right w:val="nil"/>
            </w:tcBorders>
            <w:shd w:val="clear" w:color="auto" w:fill="auto"/>
            <w:noWrap/>
            <w:vAlign w:val="center"/>
            <w:hideMark/>
          </w:tcPr>
          <w:p w14:paraId="12CCA227"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proofErr w:type="spellStart"/>
            <w:proofErr w:type="gramStart"/>
            <w:r w:rsidRPr="00A17F4B">
              <w:rPr>
                <w:rFonts w:ascii="Palatino" w:eastAsia="Times New Roman" w:hAnsi="Palatino"/>
                <w:color w:val="000000"/>
                <w:sz w:val="20"/>
                <w:szCs w:val="20"/>
                <w:lang w:val="en-US" w:eastAsia="en-ID"/>
              </w:rPr>
              <w:t>CSLa:GO</w:t>
            </w:r>
            <w:proofErr w:type="spellEnd"/>
            <w:proofErr w:type="gramEnd"/>
            <w:r w:rsidRPr="00A17F4B">
              <w:rPr>
                <w:rFonts w:ascii="Palatino" w:eastAsia="Times New Roman" w:hAnsi="Palatino"/>
                <w:color w:val="000000"/>
                <w:sz w:val="20"/>
                <w:szCs w:val="20"/>
                <w:lang w:val="en-US" w:eastAsia="en-ID"/>
              </w:rPr>
              <w:t xml:space="preserve"> 1.5%</w:t>
            </w:r>
          </w:p>
        </w:tc>
        <w:tc>
          <w:tcPr>
            <w:tcW w:w="993" w:type="dxa"/>
            <w:tcBorders>
              <w:top w:val="nil"/>
              <w:left w:val="nil"/>
              <w:right w:val="nil"/>
            </w:tcBorders>
            <w:shd w:val="clear" w:color="auto" w:fill="auto"/>
            <w:noWrap/>
            <w:vAlign w:val="center"/>
            <w:hideMark/>
          </w:tcPr>
          <w:p w14:paraId="4F756AAA"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16.78</w:t>
            </w:r>
          </w:p>
        </w:tc>
        <w:tc>
          <w:tcPr>
            <w:tcW w:w="991" w:type="dxa"/>
            <w:tcBorders>
              <w:top w:val="nil"/>
              <w:left w:val="nil"/>
              <w:right w:val="nil"/>
            </w:tcBorders>
            <w:shd w:val="clear" w:color="auto" w:fill="auto"/>
            <w:noWrap/>
            <w:vAlign w:val="center"/>
            <w:hideMark/>
          </w:tcPr>
          <w:p w14:paraId="6689EAF3"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1.626</w:t>
            </w:r>
          </w:p>
        </w:tc>
        <w:tc>
          <w:tcPr>
            <w:tcW w:w="954" w:type="dxa"/>
            <w:tcBorders>
              <w:top w:val="nil"/>
              <w:left w:val="nil"/>
              <w:right w:val="nil"/>
            </w:tcBorders>
            <w:shd w:val="clear" w:color="auto" w:fill="auto"/>
            <w:noWrap/>
            <w:vAlign w:val="center"/>
            <w:hideMark/>
          </w:tcPr>
          <w:p w14:paraId="54075B65"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19.74</w:t>
            </w:r>
          </w:p>
        </w:tc>
        <w:tc>
          <w:tcPr>
            <w:tcW w:w="1031" w:type="dxa"/>
            <w:tcBorders>
              <w:top w:val="nil"/>
              <w:left w:val="nil"/>
              <w:right w:val="nil"/>
            </w:tcBorders>
            <w:shd w:val="clear" w:color="auto" w:fill="auto"/>
            <w:noWrap/>
            <w:vAlign w:val="center"/>
            <w:hideMark/>
          </w:tcPr>
          <w:p w14:paraId="394A19D8"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2.432</w:t>
            </w:r>
          </w:p>
        </w:tc>
        <w:tc>
          <w:tcPr>
            <w:tcW w:w="955" w:type="dxa"/>
            <w:tcBorders>
              <w:top w:val="nil"/>
              <w:left w:val="nil"/>
              <w:right w:val="nil"/>
            </w:tcBorders>
            <w:shd w:val="clear" w:color="auto" w:fill="auto"/>
            <w:noWrap/>
            <w:vAlign w:val="center"/>
            <w:hideMark/>
          </w:tcPr>
          <w:p w14:paraId="6ACE3960"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22.27</w:t>
            </w:r>
          </w:p>
        </w:tc>
        <w:tc>
          <w:tcPr>
            <w:tcW w:w="1029" w:type="dxa"/>
            <w:tcBorders>
              <w:top w:val="nil"/>
              <w:left w:val="nil"/>
              <w:right w:val="nil"/>
            </w:tcBorders>
            <w:shd w:val="clear" w:color="auto" w:fill="auto"/>
            <w:noWrap/>
            <w:vAlign w:val="center"/>
            <w:hideMark/>
          </w:tcPr>
          <w:p w14:paraId="047C03C7"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1.485</w:t>
            </w:r>
          </w:p>
        </w:tc>
        <w:tc>
          <w:tcPr>
            <w:tcW w:w="1134" w:type="dxa"/>
            <w:tcBorders>
              <w:top w:val="nil"/>
              <w:left w:val="nil"/>
              <w:right w:val="nil"/>
            </w:tcBorders>
            <w:shd w:val="clear" w:color="auto" w:fill="auto"/>
            <w:noWrap/>
            <w:vAlign w:val="center"/>
            <w:hideMark/>
          </w:tcPr>
          <w:p w14:paraId="24A98BFD"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1.847</w:t>
            </w:r>
          </w:p>
        </w:tc>
      </w:tr>
      <w:tr w:rsidR="00A17F4B" w:rsidRPr="00A17F4B" w14:paraId="0E5243F3" w14:textId="77777777" w:rsidTr="00F51606">
        <w:trPr>
          <w:trHeight w:val="312"/>
        </w:trPr>
        <w:tc>
          <w:tcPr>
            <w:tcW w:w="1985" w:type="dxa"/>
            <w:tcBorders>
              <w:top w:val="nil"/>
              <w:left w:val="nil"/>
              <w:bottom w:val="single" w:sz="12" w:space="0" w:color="auto"/>
              <w:right w:val="nil"/>
            </w:tcBorders>
            <w:shd w:val="clear" w:color="auto" w:fill="auto"/>
            <w:noWrap/>
            <w:vAlign w:val="center"/>
            <w:hideMark/>
          </w:tcPr>
          <w:p w14:paraId="2A1C6D0B"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proofErr w:type="spellStart"/>
            <w:proofErr w:type="gramStart"/>
            <w:r w:rsidRPr="00A17F4B">
              <w:rPr>
                <w:rFonts w:ascii="Palatino" w:eastAsia="Times New Roman" w:hAnsi="Palatino"/>
                <w:color w:val="000000"/>
                <w:sz w:val="20"/>
                <w:szCs w:val="20"/>
                <w:lang w:val="en-US" w:eastAsia="en-ID"/>
              </w:rPr>
              <w:t>CSLa:GO</w:t>
            </w:r>
            <w:proofErr w:type="spellEnd"/>
            <w:proofErr w:type="gramEnd"/>
            <w:r w:rsidRPr="00A17F4B">
              <w:rPr>
                <w:rFonts w:ascii="Palatino" w:eastAsia="Times New Roman" w:hAnsi="Palatino"/>
                <w:color w:val="000000"/>
                <w:sz w:val="20"/>
                <w:szCs w:val="20"/>
                <w:lang w:val="en-US" w:eastAsia="en-ID"/>
              </w:rPr>
              <w:t xml:space="preserve"> 2%</w:t>
            </w:r>
          </w:p>
        </w:tc>
        <w:tc>
          <w:tcPr>
            <w:tcW w:w="993" w:type="dxa"/>
            <w:tcBorders>
              <w:top w:val="nil"/>
              <w:left w:val="nil"/>
              <w:bottom w:val="single" w:sz="12" w:space="0" w:color="auto"/>
              <w:right w:val="nil"/>
            </w:tcBorders>
            <w:shd w:val="clear" w:color="auto" w:fill="auto"/>
            <w:noWrap/>
            <w:vAlign w:val="center"/>
            <w:hideMark/>
          </w:tcPr>
          <w:p w14:paraId="1F900608"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17</w:t>
            </w:r>
          </w:p>
        </w:tc>
        <w:tc>
          <w:tcPr>
            <w:tcW w:w="991" w:type="dxa"/>
            <w:tcBorders>
              <w:top w:val="nil"/>
              <w:left w:val="nil"/>
              <w:bottom w:val="single" w:sz="12" w:space="0" w:color="auto"/>
              <w:right w:val="nil"/>
            </w:tcBorders>
            <w:shd w:val="clear" w:color="auto" w:fill="auto"/>
            <w:noWrap/>
            <w:vAlign w:val="center"/>
            <w:hideMark/>
          </w:tcPr>
          <w:p w14:paraId="73441BDF"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1.656</w:t>
            </w:r>
          </w:p>
        </w:tc>
        <w:tc>
          <w:tcPr>
            <w:tcW w:w="954" w:type="dxa"/>
            <w:tcBorders>
              <w:top w:val="nil"/>
              <w:left w:val="nil"/>
              <w:bottom w:val="single" w:sz="12" w:space="0" w:color="auto"/>
              <w:right w:val="nil"/>
            </w:tcBorders>
            <w:shd w:val="clear" w:color="auto" w:fill="auto"/>
            <w:noWrap/>
            <w:vAlign w:val="center"/>
            <w:hideMark/>
          </w:tcPr>
          <w:p w14:paraId="16EE3858"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19.84</w:t>
            </w:r>
          </w:p>
        </w:tc>
        <w:tc>
          <w:tcPr>
            <w:tcW w:w="1031" w:type="dxa"/>
            <w:tcBorders>
              <w:top w:val="nil"/>
              <w:left w:val="nil"/>
              <w:bottom w:val="single" w:sz="12" w:space="0" w:color="auto"/>
              <w:right w:val="nil"/>
            </w:tcBorders>
            <w:shd w:val="clear" w:color="auto" w:fill="auto"/>
            <w:noWrap/>
            <w:vAlign w:val="center"/>
            <w:hideMark/>
          </w:tcPr>
          <w:p w14:paraId="4BF44509"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2.648</w:t>
            </w:r>
          </w:p>
        </w:tc>
        <w:tc>
          <w:tcPr>
            <w:tcW w:w="955" w:type="dxa"/>
            <w:tcBorders>
              <w:top w:val="nil"/>
              <w:left w:val="nil"/>
              <w:bottom w:val="single" w:sz="12" w:space="0" w:color="auto"/>
              <w:right w:val="nil"/>
            </w:tcBorders>
            <w:shd w:val="clear" w:color="auto" w:fill="auto"/>
            <w:noWrap/>
            <w:vAlign w:val="center"/>
            <w:hideMark/>
          </w:tcPr>
          <w:p w14:paraId="75094587"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22.18</w:t>
            </w:r>
          </w:p>
        </w:tc>
        <w:tc>
          <w:tcPr>
            <w:tcW w:w="1029" w:type="dxa"/>
            <w:tcBorders>
              <w:top w:val="nil"/>
              <w:left w:val="nil"/>
              <w:bottom w:val="single" w:sz="12" w:space="0" w:color="auto"/>
              <w:right w:val="nil"/>
            </w:tcBorders>
            <w:shd w:val="clear" w:color="auto" w:fill="auto"/>
            <w:noWrap/>
            <w:vAlign w:val="center"/>
            <w:hideMark/>
          </w:tcPr>
          <w:p w14:paraId="7FBD5562"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1.856</w:t>
            </w:r>
          </w:p>
        </w:tc>
        <w:tc>
          <w:tcPr>
            <w:tcW w:w="1134" w:type="dxa"/>
            <w:tcBorders>
              <w:top w:val="nil"/>
              <w:left w:val="nil"/>
              <w:bottom w:val="single" w:sz="12" w:space="0" w:color="auto"/>
              <w:right w:val="nil"/>
            </w:tcBorders>
            <w:shd w:val="clear" w:color="auto" w:fill="auto"/>
            <w:noWrap/>
            <w:vAlign w:val="center"/>
            <w:hideMark/>
          </w:tcPr>
          <w:p w14:paraId="1D818EDC" w14:textId="77777777" w:rsidR="00A17F4B" w:rsidRPr="00A17F4B" w:rsidRDefault="00A17F4B" w:rsidP="00A17F4B">
            <w:pPr>
              <w:spacing w:after="0" w:line="240" w:lineRule="auto"/>
              <w:jc w:val="center"/>
              <w:rPr>
                <w:rFonts w:ascii="Palatino" w:eastAsia="Times New Roman" w:hAnsi="Palatino"/>
                <w:color w:val="000000"/>
                <w:sz w:val="20"/>
                <w:szCs w:val="20"/>
                <w:lang w:eastAsia="en-ID"/>
              </w:rPr>
            </w:pPr>
            <w:r w:rsidRPr="00A17F4B">
              <w:rPr>
                <w:rFonts w:ascii="Palatino" w:eastAsia="Times New Roman" w:hAnsi="Palatino"/>
                <w:color w:val="000000"/>
                <w:sz w:val="20"/>
                <w:szCs w:val="20"/>
                <w:lang w:eastAsia="en-ID"/>
              </w:rPr>
              <w:t>2.053</w:t>
            </w:r>
          </w:p>
        </w:tc>
      </w:tr>
      <w:bookmarkEnd w:id="1"/>
    </w:tbl>
    <w:p w14:paraId="757EDB4F" w14:textId="77777777" w:rsidR="00A17F4B" w:rsidRDefault="00A17F4B" w:rsidP="00A17F4B">
      <w:pPr>
        <w:spacing w:after="0"/>
        <w:ind w:firstLine="482"/>
        <w:jc w:val="both"/>
        <w:rPr>
          <w:rFonts w:ascii="Palatino" w:hAnsi="Palatino"/>
        </w:rPr>
      </w:pPr>
    </w:p>
    <w:p w14:paraId="3D26443E" w14:textId="0F53832E" w:rsidR="00A17F4B" w:rsidRDefault="00A17F4B" w:rsidP="00A17F4B">
      <w:pPr>
        <w:spacing w:after="0"/>
        <w:ind w:firstLine="482"/>
        <w:jc w:val="both"/>
        <w:rPr>
          <w:rFonts w:ascii="Palatino" w:hAnsi="Palatino"/>
        </w:rPr>
      </w:pPr>
      <w:r w:rsidRPr="00A17F4B">
        <w:rPr>
          <w:rFonts w:ascii="Palatino" w:hAnsi="Palatino"/>
        </w:rPr>
        <w:t xml:space="preserve">Table 1 presents the full width at half maximum (FWHM) value of SPE. The decrease in intensity is an indication of an increasingly amorphous sample due to decreased crystallinity, allowing an increase in ionic conductivity in the sample </w:t>
      </w:r>
      <w:r w:rsidRPr="00A17F4B">
        <w:rPr>
          <w:rFonts w:ascii="Palatino" w:hAnsi="Palatino"/>
        </w:rPr>
        <w:fldChar w:fldCharType="begin" w:fldLock="1"/>
      </w:r>
      <w:r w:rsidRPr="00A17F4B">
        <w:rPr>
          <w:rFonts w:ascii="Palatino" w:hAnsi="Palatino"/>
        </w:rPr>
        <w:instrText xml:space="preserve"> ADDIN ZOTERO_ITEM CSL_CITATION {"citationID":"bRkbVXhM","properties":{"formattedCitation":"(Azli et al., 2017)","plainCitation":"(Azli et al., 2017)","noteIndex":0},"citationItems":[{"id":"c5RW3ULW/lRqvbZsA","uris":["http://www.mendeley.com/documents/?uuid=a416a62b-7e2b-40f6-95e6-a13fd3da6659"],"itemData":{"DOI":"10.1007/s11581-016-1874-z","ISSN":"1862-0760","abstract":"Solid polymer electrolytes based on potato starch (PS) and graphene oxide (GO) have been developed in this study. Blending GO with PS has improved the ionic conductivity and mechanical properties of the electrolytes. In this work, series of polymer blend consisting of PS and GO as co-host polymer were prepared using solution cast method. The most amorphous PS-GO blend was obtained using 80 wt% of PS and 20 wt% of GO as recorded by X-ray diffraction (XRD). Incorporation of 40 wt% lithium trifluoromethanesulfonate (LiCF3SO3) into the PS-GO blend increases the conductivity to (1.48 ± 0.35) × 10−5 S cm−1. Further enhancement of conductivity was made using 1-butyl-3-methylimidazolium chloride ([Bmim][Cl]). The highest conductivity at room temperature is obtained for the electrolyte containing 30 wt% of [Bmim][Cl] with conductivity value of (4.80 ± 0.69) × 10−4 S cm−1. Analysis of the Fourier transform infrared spectroscopy (FTIR) spectra confirmed the interaction between LiCF3SO3, [Bmim][Cl], and PS-GO blend. The variation of the dielectric constant and modulus studies versus frequency indicates that system of PS-GO-LiCF3SO3-[Bmim][Cl] obeys non-Debye behavior.","author":[{"dropping-particle":"","family":"Azli","given":"A A","non-dropping-particle":"","parse-names":false,"suffix":""},{"dropping-particle":"","family":"Manan","given":"N S A","non-dropping-particle":"","parse-names":false,"suffix":""},{"dropping-particle":"","family":"Kadir","given":"M F Z","non-dropping-particle":"","parse-names":false,"suffix":""}],"container-title":"Ionics","id":"ITEM-1","issue":"2","issued":{"date-parts":[["2017"]]},"page":"411-425","title":"The development of Li+ conducting polymer electrolyte based on potato starch/graphene oxide blend","type":"article-journal","volume":"23"}}],"schema":"https://github.com/citation-style-language/schema/raw/master/csl-citation.json"} </w:instrText>
      </w:r>
      <w:r w:rsidRPr="00A17F4B">
        <w:rPr>
          <w:rFonts w:ascii="Palatino" w:hAnsi="Palatino"/>
        </w:rPr>
        <w:fldChar w:fldCharType="separate"/>
      </w:r>
      <w:r w:rsidRPr="00A17F4B">
        <w:rPr>
          <w:rFonts w:ascii="Palatino" w:hAnsi="Palatino"/>
        </w:rPr>
        <w:t>(Azli et al., 2017)</w:t>
      </w:r>
      <w:r w:rsidRPr="00A17F4B">
        <w:rPr>
          <w:rFonts w:ascii="Palatino" w:hAnsi="Palatino"/>
        </w:rPr>
        <w:fldChar w:fldCharType="end"/>
      </w:r>
      <w:r w:rsidRPr="00A17F4B">
        <w:rPr>
          <w:rFonts w:ascii="Palatino" w:hAnsi="Palatino"/>
        </w:rPr>
        <w:t xml:space="preserve">. The reduction in intensity can be validated through the computation of FWHM. High FWHM values suggest a significant amorphous fraction present in the polymer </w:t>
      </w:r>
      <w:r w:rsidRPr="00A17F4B">
        <w:rPr>
          <w:rFonts w:ascii="Palatino" w:hAnsi="Palatino"/>
        </w:rPr>
        <w:fldChar w:fldCharType="begin" w:fldLock="1"/>
      </w:r>
      <w:r w:rsidRPr="00A17F4B">
        <w:rPr>
          <w:rFonts w:ascii="Palatino" w:hAnsi="Palatino"/>
        </w:rPr>
        <w:instrText xml:space="preserve"> ADDIN ZOTERO_ITEM CSL_CITATION {"citationID":"r37tKDIK","properties":{"formattedCitation":"(Norjeli et al., 2022)","plainCitation":"(Norjeli et al., 2022)","noteIndex":0},"citationItems":[{"id":"c5RW3ULW/U3WhnQPN","uris":["http://www.mendeley.com/documents/?uuid=e76bcde8-9a0c-444a-ad82-0ae661241da5"],"itemData":{"DOI":"10.3390/gels8090589","ISBN":"2310-2861","abstract":"Additive manufacturing (AM), also known as 3D-printing technology, is currently integrated in many fields as it possesses an attractive fabrication process. In this work, we deployed the 3D-print stereolithography (SLA) method to print polyurethane acrylate (PUA)-based gel polymer electrolyte (GPE). The printed PUA GPE was then characterized through several techniques, such as Fourier transform infrared (FTIR), electrochemical impedance spectroscopy (EIS), X-ray diffraction analysis (XRD), thermogravimetric analysis (TGA), differential scanning calorimetry (DSC) and scanning electron microscope (SEM). The printed GPE exhibited high ionic conductivity of 1.24 &amp;times; 10&amp;minus;3 S cm&amp;minus;1 at low-lithium-salt content (10 wt.%) in ambient temperature and favorable thermal stability to about 300 &amp;deg;C. The FTIR results show that addition of LiClO4 to the polymer matrix caused a shift in carbonyl, ester and amide functional groups. In addition, FTIR deconvolution peaks of LiClO4 show 10 wt.% has the highest amount of free ions, in line with the highest conductivity achieved. Finally, the PUA GPE was printed into 3D complex structure to show SLA flexibility in designing an electrolyte, which could be a potential application in advanced battery fabrication.","author":[{"dropping-particle":"","family":"Norjeli","given":"Muhammad F","non-dropping-particle":"","parse-names":false,"suffix":""},{"dropping-particle":"","family":"Tamchek","given":"Nizam","non-dropping-particle":"","parse-names":false,"suffix":""},{"dropping-particle":"","family":"Osman","given":"Zurina","non-dropping-particle":"","parse-names":false,"suffix":""},{"dropping-particle":"","family":"Mohd Noor","given":"Ikhwan S","non-dropping-particle":"","parse-names":false,"suffix":""},{"dropping-particle":"","family":"Kufian","given":"Mohd Z","non-dropping-particle":"","parse-names":false,"suffix":""},{"dropping-particle":"","family":"Ghazali","given":"Mohd I","non-dropping-particle":"","parse-names":false,"suffix":""}],"container-title":"Gels","id":"ITEM-1","issue":"9","issued":{"date-parts":[["2022"]]},"title":"Additive Manufacturing Polyurethane Acrylate via Stereolithography for 3D Structure Polymer Electrolyte Application","type":"article","volume":"8"}}],"schema":"https://github.com/citation-style-language/schema/raw/master/csl-citation.json"} </w:instrText>
      </w:r>
      <w:r w:rsidRPr="00A17F4B">
        <w:rPr>
          <w:rFonts w:ascii="Palatino" w:hAnsi="Palatino"/>
        </w:rPr>
        <w:fldChar w:fldCharType="separate"/>
      </w:r>
      <w:r w:rsidRPr="00A17F4B">
        <w:rPr>
          <w:rFonts w:ascii="Palatino" w:hAnsi="Palatino"/>
        </w:rPr>
        <w:t>(Norjeli et al., 2022)</w:t>
      </w:r>
      <w:r w:rsidRPr="00A17F4B">
        <w:rPr>
          <w:rFonts w:ascii="Palatino" w:hAnsi="Palatino"/>
        </w:rPr>
        <w:fldChar w:fldCharType="end"/>
      </w:r>
      <w:r w:rsidRPr="00A17F4B">
        <w:rPr>
          <w:rFonts w:ascii="Palatino" w:hAnsi="Palatino"/>
        </w:rPr>
        <w:t xml:space="preserve">. </w:t>
      </w:r>
    </w:p>
    <w:p w14:paraId="3A0C023A" w14:textId="77777777" w:rsidR="00A17F4B" w:rsidRDefault="00A17F4B" w:rsidP="00A17F4B">
      <w:pPr>
        <w:spacing w:after="0"/>
        <w:ind w:firstLine="482"/>
        <w:jc w:val="both"/>
        <w:rPr>
          <w:rFonts w:ascii="Palatino" w:hAnsi="Palatino"/>
        </w:rPr>
      </w:pPr>
    </w:p>
    <w:p w14:paraId="12F38C7F" w14:textId="77777777" w:rsidR="00A17F4B" w:rsidRPr="00A17F4B" w:rsidRDefault="00A17F4B" w:rsidP="00A17F4B">
      <w:pPr>
        <w:spacing w:after="0"/>
        <w:ind w:firstLine="482"/>
        <w:jc w:val="both"/>
        <w:rPr>
          <w:rFonts w:ascii="Palatino" w:hAnsi="Palatino"/>
        </w:rPr>
      </w:pPr>
    </w:p>
    <w:p w14:paraId="0014D97E" w14:textId="77777777" w:rsidR="00A17F4B" w:rsidRPr="00A17F4B" w:rsidRDefault="00A17F4B" w:rsidP="00A17F4B">
      <w:pPr>
        <w:spacing w:after="0"/>
        <w:ind w:firstLine="482"/>
        <w:jc w:val="both"/>
        <w:rPr>
          <w:rFonts w:ascii="Palatino" w:hAnsi="Palatino"/>
        </w:rPr>
      </w:pPr>
    </w:p>
    <w:p w14:paraId="3AE85785" w14:textId="5CA83D1C" w:rsidR="00A17F4B" w:rsidRPr="00A17F4B" w:rsidRDefault="00A17F4B" w:rsidP="00A17F4B">
      <w:pPr>
        <w:spacing w:after="0" w:line="240" w:lineRule="auto"/>
        <w:rPr>
          <w:rFonts w:ascii="Palatino" w:hAnsi="Palatino"/>
        </w:rPr>
      </w:pPr>
      <w:r w:rsidRPr="00A17F4B">
        <w:rPr>
          <w:rFonts w:ascii="Palatino" w:hAnsi="Palatino"/>
          <w:b/>
          <w:bCs/>
        </w:rPr>
        <w:lastRenderedPageBreak/>
        <w:t>Table 2</w:t>
      </w:r>
      <w:r>
        <w:rPr>
          <w:rFonts w:ascii="Palatino" w:hAnsi="Palatino"/>
          <w:b/>
          <w:bCs/>
        </w:rPr>
        <w:t xml:space="preserve"> </w:t>
      </w:r>
      <w:r w:rsidRPr="00A17F4B">
        <w:rPr>
          <w:rFonts w:ascii="Palatino" w:hAnsi="Palatino"/>
        </w:rPr>
        <w:t>FTIR functional group of SPE</w:t>
      </w:r>
    </w:p>
    <w:tbl>
      <w:tblPr>
        <w:tblStyle w:val="ListTable6Colorful1"/>
        <w:tblW w:w="9214" w:type="dxa"/>
        <w:tblBorders>
          <w:insideH w:val="single" w:sz="4" w:space="0" w:color="auto"/>
        </w:tblBorders>
        <w:tblLook w:val="04A0" w:firstRow="1" w:lastRow="0" w:firstColumn="1" w:lastColumn="0" w:noHBand="0" w:noVBand="1"/>
      </w:tblPr>
      <w:tblGrid>
        <w:gridCol w:w="3969"/>
        <w:gridCol w:w="5245"/>
      </w:tblGrid>
      <w:tr w:rsidR="00A17F4B" w:rsidRPr="00A17F4B" w14:paraId="6BFE24B2" w14:textId="77777777" w:rsidTr="00F5160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9" w:type="dxa"/>
            <w:tcBorders>
              <w:top w:val="single" w:sz="12" w:space="0" w:color="auto"/>
              <w:bottom w:val="single" w:sz="12" w:space="0" w:color="auto"/>
            </w:tcBorders>
            <w:hideMark/>
          </w:tcPr>
          <w:p w14:paraId="7E724B40"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Wavenumber (cm</w:t>
            </w:r>
            <w:r w:rsidRPr="00A17F4B">
              <w:rPr>
                <w:rFonts w:ascii="Palatino" w:hAnsi="Palatino"/>
                <w:b w:val="0"/>
                <w:bCs w:val="0"/>
                <w:sz w:val="22"/>
                <w:szCs w:val="22"/>
                <w:vertAlign w:val="superscript"/>
              </w:rPr>
              <w:t>-1</w:t>
            </w:r>
            <w:r w:rsidRPr="00A17F4B">
              <w:rPr>
                <w:rFonts w:ascii="Palatino" w:hAnsi="Palatino"/>
                <w:b w:val="0"/>
                <w:bCs w:val="0"/>
                <w:sz w:val="22"/>
                <w:szCs w:val="22"/>
              </w:rPr>
              <w:t>)</w:t>
            </w:r>
          </w:p>
        </w:tc>
        <w:tc>
          <w:tcPr>
            <w:tcW w:w="5245" w:type="dxa"/>
            <w:tcBorders>
              <w:top w:val="single" w:sz="12" w:space="0" w:color="auto"/>
              <w:bottom w:val="single" w:sz="12" w:space="0" w:color="auto"/>
            </w:tcBorders>
            <w:hideMark/>
          </w:tcPr>
          <w:p w14:paraId="01BDDE19" w14:textId="77777777" w:rsidR="00A17F4B" w:rsidRPr="00A17F4B" w:rsidRDefault="00A17F4B" w:rsidP="00F51606">
            <w:pPr>
              <w:cnfStyle w:val="100000000000" w:firstRow="1" w:lastRow="0" w:firstColumn="0" w:lastColumn="0" w:oddVBand="0" w:evenVBand="0" w:oddHBand="0" w:evenHBand="0" w:firstRowFirstColumn="0" w:firstRowLastColumn="0" w:lastRowFirstColumn="0" w:lastRowLastColumn="0"/>
              <w:rPr>
                <w:rFonts w:ascii="Palatino" w:hAnsi="Palatino"/>
                <w:b w:val="0"/>
                <w:bCs w:val="0"/>
                <w:sz w:val="22"/>
                <w:szCs w:val="22"/>
                <w:lang w:val="en-ID"/>
              </w:rPr>
            </w:pPr>
            <w:r w:rsidRPr="00A17F4B">
              <w:rPr>
                <w:rFonts w:ascii="Palatino" w:hAnsi="Palatino"/>
                <w:b w:val="0"/>
                <w:bCs w:val="0"/>
                <w:sz w:val="22"/>
                <w:szCs w:val="22"/>
              </w:rPr>
              <w:t>Functional Group</w:t>
            </w:r>
          </w:p>
        </w:tc>
      </w:tr>
      <w:tr w:rsidR="00A17F4B" w:rsidRPr="00A17F4B" w14:paraId="00F0876A" w14:textId="77777777" w:rsidTr="00F5160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969" w:type="dxa"/>
            <w:tcBorders>
              <w:top w:val="single" w:sz="12" w:space="0" w:color="auto"/>
            </w:tcBorders>
            <w:shd w:val="clear" w:color="auto" w:fill="auto"/>
            <w:hideMark/>
          </w:tcPr>
          <w:p w14:paraId="0FD2A2AD"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3300 – 3400</w:t>
            </w:r>
          </w:p>
        </w:tc>
        <w:tc>
          <w:tcPr>
            <w:tcW w:w="5245" w:type="dxa"/>
            <w:tcBorders>
              <w:top w:val="single" w:sz="12" w:space="0" w:color="auto"/>
            </w:tcBorders>
            <w:shd w:val="clear" w:color="auto" w:fill="auto"/>
            <w:hideMark/>
          </w:tcPr>
          <w:p w14:paraId="1EB78185" w14:textId="77777777" w:rsidR="00A17F4B" w:rsidRPr="00A17F4B" w:rsidRDefault="00A17F4B" w:rsidP="00F51606">
            <w:pPr>
              <w:cnfStyle w:val="000000100000" w:firstRow="0" w:lastRow="0" w:firstColumn="0" w:lastColumn="0" w:oddVBand="0" w:evenVBand="0" w:oddHBand="1"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O-H Stretching</w:t>
            </w:r>
          </w:p>
        </w:tc>
      </w:tr>
      <w:tr w:rsidR="00A17F4B" w:rsidRPr="00A17F4B" w14:paraId="3E876063" w14:textId="77777777" w:rsidTr="00F51606">
        <w:trPr>
          <w:trHeight w:val="102"/>
        </w:trPr>
        <w:tc>
          <w:tcPr>
            <w:cnfStyle w:val="001000000000" w:firstRow="0" w:lastRow="0" w:firstColumn="1" w:lastColumn="0" w:oddVBand="0" w:evenVBand="0" w:oddHBand="0" w:evenHBand="0" w:firstRowFirstColumn="0" w:firstRowLastColumn="0" w:lastRowFirstColumn="0" w:lastRowLastColumn="0"/>
            <w:tcW w:w="3969" w:type="dxa"/>
            <w:hideMark/>
          </w:tcPr>
          <w:p w14:paraId="2687948C"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2927</w:t>
            </w:r>
          </w:p>
        </w:tc>
        <w:tc>
          <w:tcPr>
            <w:tcW w:w="5245" w:type="dxa"/>
            <w:hideMark/>
          </w:tcPr>
          <w:p w14:paraId="3A5A8AB0" w14:textId="77777777" w:rsidR="00A17F4B" w:rsidRPr="00A17F4B" w:rsidRDefault="00A17F4B" w:rsidP="00F51606">
            <w:pPr>
              <w:cnfStyle w:val="000000000000" w:firstRow="0" w:lastRow="0" w:firstColumn="0" w:lastColumn="0" w:oddVBand="0" w:evenVBand="0" w:oddHBand="0"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C-H Stretching</w:t>
            </w:r>
          </w:p>
        </w:tc>
      </w:tr>
      <w:tr w:rsidR="00A17F4B" w:rsidRPr="00A17F4B" w14:paraId="0982F7E8" w14:textId="77777777" w:rsidTr="00F5160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hideMark/>
          </w:tcPr>
          <w:p w14:paraId="6A897B0C"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1650</w:t>
            </w:r>
          </w:p>
        </w:tc>
        <w:tc>
          <w:tcPr>
            <w:tcW w:w="5245" w:type="dxa"/>
            <w:shd w:val="clear" w:color="auto" w:fill="auto"/>
            <w:hideMark/>
          </w:tcPr>
          <w:p w14:paraId="37426755" w14:textId="77777777" w:rsidR="00A17F4B" w:rsidRPr="00A17F4B" w:rsidRDefault="00A17F4B" w:rsidP="00F51606">
            <w:pPr>
              <w:cnfStyle w:val="000000100000" w:firstRow="0" w:lastRow="0" w:firstColumn="0" w:lastColumn="0" w:oddVBand="0" w:evenVBand="0" w:oddHBand="1"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O-H Bending</w:t>
            </w:r>
          </w:p>
        </w:tc>
      </w:tr>
      <w:tr w:rsidR="00A17F4B" w:rsidRPr="00A17F4B" w14:paraId="39AEF9A2" w14:textId="77777777" w:rsidTr="00F51606">
        <w:trPr>
          <w:trHeight w:val="54"/>
        </w:trPr>
        <w:tc>
          <w:tcPr>
            <w:cnfStyle w:val="001000000000" w:firstRow="0" w:lastRow="0" w:firstColumn="1" w:lastColumn="0" w:oddVBand="0" w:evenVBand="0" w:oddHBand="0" w:evenHBand="0" w:firstRowFirstColumn="0" w:firstRowLastColumn="0" w:lastRowFirstColumn="0" w:lastRowLastColumn="0"/>
            <w:tcW w:w="3969" w:type="dxa"/>
            <w:hideMark/>
          </w:tcPr>
          <w:p w14:paraId="006D3276"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1300 – 1500</w:t>
            </w:r>
          </w:p>
        </w:tc>
        <w:tc>
          <w:tcPr>
            <w:tcW w:w="5245" w:type="dxa"/>
            <w:hideMark/>
          </w:tcPr>
          <w:p w14:paraId="78358EAA" w14:textId="77777777" w:rsidR="00A17F4B" w:rsidRPr="00A17F4B" w:rsidRDefault="00A17F4B" w:rsidP="00F51606">
            <w:pPr>
              <w:cnfStyle w:val="000000000000" w:firstRow="0" w:lastRow="0" w:firstColumn="0" w:lastColumn="0" w:oddVBand="0" w:evenVBand="0" w:oddHBand="0"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CH and CH</w:t>
            </w:r>
            <w:r w:rsidRPr="00A17F4B">
              <w:rPr>
                <w:rFonts w:ascii="Palatino" w:hAnsi="Palatino"/>
                <w:sz w:val="22"/>
                <w:szCs w:val="22"/>
                <w:vertAlign w:val="subscript"/>
              </w:rPr>
              <w:t>2</w:t>
            </w:r>
            <w:r w:rsidRPr="00A17F4B">
              <w:rPr>
                <w:rFonts w:ascii="Palatino" w:hAnsi="Palatino"/>
                <w:sz w:val="22"/>
                <w:szCs w:val="22"/>
              </w:rPr>
              <w:t xml:space="preserve"> deformation in CH</w:t>
            </w:r>
            <w:r w:rsidRPr="00A17F4B">
              <w:rPr>
                <w:rFonts w:ascii="Palatino" w:hAnsi="Palatino"/>
                <w:sz w:val="22"/>
                <w:szCs w:val="22"/>
                <w:vertAlign w:val="subscript"/>
              </w:rPr>
              <w:t>2</w:t>
            </w:r>
            <w:r w:rsidRPr="00A17F4B">
              <w:rPr>
                <w:rFonts w:ascii="Palatino" w:hAnsi="Palatino"/>
                <w:sz w:val="22"/>
                <w:szCs w:val="22"/>
              </w:rPr>
              <w:t>OH</w:t>
            </w:r>
          </w:p>
        </w:tc>
      </w:tr>
      <w:tr w:rsidR="00A17F4B" w:rsidRPr="00A17F4B" w14:paraId="589F7C08" w14:textId="77777777" w:rsidTr="00F51606">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hideMark/>
          </w:tcPr>
          <w:p w14:paraId="08AB9432"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1151</w:t>
            </w:r>
          </w:p>
        </w:tc>
        <w:tc>
          <w:tcPr>
            <w:tcW w:w="5245" w:type="dxa"/>
            <w:shd w:val="clear" w:color="auto" w:fill="auto"/>
            <w:hideMark/>
          </w:tcPr>
          <w:p w14:paraId="3960FB8F" w14:textId="77777777" w:rsidR="00A17F4B" w:rsidRPr="00A17F4B" w:rsidRDefault="00A17F4B" w:rsidP="00F51606">
            <w:pPr>
              <w:cnfStyle w:val="000000100000" w:firstRow="0" w:lastRow="0" w:firstColumn="0" w:lastColumn="0" w:oddVBand="0" w:evenVBand="0" w:oddHBand="1"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C-O stretching in C-O-H</w:t>
            </w:r>
          </w:p>
        </w:tc>
      </w:tr>
      <w:tr w:rsidR="00A17F4B" w:rsidRPr="00A17F4B" w14:paraId="6D744BD0" w14:textId="77777777" w:rsidTr="00F51606">
        <w:trPr>
          <w:trHeight w:val="54"/>
        </w:trPr>
        <w:tc>
          <w:tcPr>
            <w:cnfStyle w:val="001000000000" w:firstRow="0" w:lastRow="0" w:firstColumn="1" w:lastColumn="0" w:oddVBand="0" w:evenVBand="0" w:oddHBand="0" w:evenHBand="0" w:firstRowFirstColumn="0" w:firstRowLastColumn="0" w:lastRowFirstColumn="0" w:lastRowLastColumn="0"/>
            <w:tcW w:w="3969" w:type="dxa"/>
            <w:hideMark/>
          </w:tcPr>
          <w:p w14:paraId="79662C00"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1077</w:t>
            </w:r>
          </w:p>
        </w:tc>
        <w:tc>
          <w:tcPr>
            <w:tcW w:w="5245" w:type="dxa"/>
            <w:hideMark/>
          </w:tcPr>
          <w:p w14:paraId="5FB2E7D2" w14:textId="77777777" w:rsidR="00A17F4B" w:rsidRPr="00A17F4B" w:rsidRDefault="00A17F4B" w:rsidP="00F51606">
            <w:pPr>
              <w:cnfStyle w:val="000000000000" w:firstRow="0" w:lastRow="0" w:firstColumn="0" w:lastColumn="0" w:oddVBand="0" w:evenVBand="0" w:oddHBand="0"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C-O stretching in C-O-H</w:t>
            </w:r>
          </w:p>
        </w:tc>
      </w:tr>
      <w:tr w:rsidR="00A17F4B" w:rsidRPr="00A17F4B" w14:paraId="3DDA5CBB" w14:textId="77777777" w:rsidTr="00F5160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hideMark/>
          </w:tcPr>
          <w:p w14:paraId="218D5350"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1020</w:t>
            </w:r>
          </w:p>
        </w:tc>
        <w:tc>
          <w:tcPr>
            <w:tcW w:w="5245" w:type="dxa"/>
            <w:shd w:val="clear" w:color="auto" w:fill="auto"/>
            <w:hideMark/>
          </w:tcPr>
          <w:p w14:paraId="45C1FB81" w14:textId="77777777" w:rsidR="00A17F4B" w:rsidRPr="00A17F4B" w:rsidRDefault="00A17F4B" w:rsidP="00F51606">
            <w:pPr>
              <w:cnfStyle w:val="000000100000" w:firstRow="0" w:lastRow="0" w:firstColumn="0" w:lastColumn="0" w:oddVBand="0" w:evenVBand="0" w:oddHBand="1"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C-O-H deformation</w:t>
            </w:r>
          </w:p>
        </w:tc>
      </w:tr>
      <w:tr w:rsidR="00A17F4B" w:rsidRPr="00A17F4B" w14:paraId="25219D7B" w14:textId="77777777" w:rsidTr="00F51606">
        <w:trPr>
          <w:trHeight w:val="179"/>
        </w:trPr>
        <w:tc>
          <w:tcPr>
            <w:cnfStyle w:val="001000000000" w:firstRow="0" w:lastRow="0" w:firstColumn="1" w:lastColumn="0" w:oddVBand="0" w:evenVBand="0" w:oddHBand="0" w:evenHBand="0" w:firstRowFirstColumn="0" w:firstRowLastColumn="0" w:lastRowFirstColumn="0" w:lastRowLastColumn="0"/>
            <w:tcW w:w="3969" w:type="dxa"/>
            <w:hideMark/>
          </w:tcPr>
          <w:p w14:paraId="7D2435BE" w14:textId="77777777" w:rsidR="00A17F4B" w:rsidRPr="00A17F4B" w:rsidRDefault="00A17F4B" w:rsidP="00F51606">
            <w:pPr>
              <w:rPr>
                <w:rFonts w:ascii="Palatino" w:hAnsi="Palatino"/>
                <w:b w:val="0"/>
                <w:bCs w:val="0"/>
                <w:sz w:val="22"/>
                <w:szCs w:val="22"/>
                <w:lang w:val="en-ID"/>
              </w:rPr>
            </w:pPr>
            <w:r w:rsidRPr="00A17F4B">
              <w:rPr>
                <w:rFonts w:ascii="Palatino" w:hAnsi="Palatino"/>
                <w:b w:val="0"/>
                <w:bCs w:val="0"/>
                <w:sz w:val="22"/>
                <w:szCs w:val="22"/>
              </w:rPr>
              <w:t>997</w:t>
            </w:r>
          </w:p>
        </w:tc>
        <w:tc>
          <w:tcPr>
            <w:tcW w:w="5245" w:type="dxa"/>
            <w:hideMark/>
          </w:tcPr>
          <w:p w14:paraId="712EA29F" w14:textId="77777777" w:rsidR="00A17F4B" w:rsidRPr="00A17F4B" w:rsidRDefault="00A17F4B" w:rsidP="00F51606">
            <w:pPr>
              <w:cnfStyle w:val="000000000000" w:firstRow="0" w:lastRow="0" w:firstColumn="0" w:lastColumn="0" w:oddVBand="0" w:evenVBand="0" w:oddHBand="0" w:evenHBand="0" w:firstRowFirstColumn="0" w:firstRowLastColumn="0" w:lastRowFirstColumn="0" w:lastRowLastColumn="0"/>
              <w:rPr>
                <w:rFonts w:ascii="Palatino" w:hAnsi="Palatino"/>
                <w:sz w:val="22"/>
                <w:szCs w:val="22"/>
                <w:lang w:val="en-ID"/>
              </w:rPr>
            </w:pPr>
            <w:r w:rsidRPr="00A17F4B">
              <w:rPr>
                <w:rFonts w:ascii="Palatino" w:hAnsi="Palatino"/>
                <w:sz w:val="22"/>
                <w:szCs w:val="22"/>
              </w:rPr>
              <w:t>C-O stretching in C-O-C</w:t>
            </w:r>
          </w:p>
        </w:tc>
      </w:tr>
    </w:tbl>
    <w:p w14:paraId="15A34AEF" w14:textId="77777777" w:rsidR="00A17F4B" w:rsidRPr="00A17F4B" w:rsidRDefault="00A17F4B" w:rsidP="00A17F4B">
      <w:pPr>
        <w:rPr>
          <w:rFonts w:ascii="Palatino" w:hAnsi="Palatino"/>
        </w:rPr>
      </w:pPr>
    </w:p>
    <w:p w14:paraId="368C22B9" w14:textId="77777777" w:rsidR="00A17F4B" w:rsidRPr="00A17F4B" w:rsidRDefault="00A17F4B" w:rsidP="0004346F">
      <w:pPr>
        <w:pStyle w:val="IJTechConflictofInterestTitle"/>
        <w:rPr>
          <w:lang w:val="id-ID"/>
        </w:rPr>
      </w:pPr>
    </w:p>
    <w:p w14:paraId="683D3678" w14:textId="77777777" w:rsidR="00654DE0" w:rsidRPr="00A17F4B" w:rsidRDefault="00654DE0">
      <w:pPr>
        <w:rPr>
          <w:rFonts w:ascii="Palatino" w:hAnsi="Palatino"/>
        </w:rPr>
      </w:pPr>
    </w:p>
    <w:sectPr w:rsidR="00654DE0" w:rsidRPr="00A17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Palatino Linotype"/>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6F"/>
    <w:rsid w:val="0004346F"/>
    <w:rsid w:val="00181E34"/>
    <w:rsid w:val="00471D2C"/>
    <w:rsid w:val="00654DE0"/>
    <w:rsid w:val="007E43D0"/>
    <w:rsid w:val="00A17F4B"/>
    <w:rsid w:val="00C83068"/>
    <w:rsid w:val="00E73B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AFFA"/>
  <w15:chartTrackingRefBased/>
  <w15:docId w15:val="{1CEF395B-49E2-4FE4-85DC-0B11C260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0434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4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4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4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34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6F"/>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04346F"/>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04346F"/>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04346F"/>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04346F"/>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04346F"/>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04346F"/>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04346F"/>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04346F"/>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043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46F"/>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043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46F"/>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04346F"/>
    <w:pPr>
      <w:spacing w:before="160"/>
      <w:jc w:val="center"/>
    </w:pPr>
    <w:rPr>
      <w:i/>
      <w:iCs/>
      <w:color w:val="404040" w:themeColor="text1" w:themeTint="BF"/>
    </w:rPr>
  </w:style>
  <w:style w:type="character" w:customStyle="1" w:styleId="QuoteChar">
    <w:name w:val="Quote Char"/>
    <w:basedOn w:val="DefaultParagraphFont"/>
    <w:link w:val="Quote"/>
    <w:uiPriority w:val="29"/>
    <w:rsid w:val="0004346F"/>
    <w:rPr>
      <w:i/>
      <w:iCs/>
      <w:color w:val="404040" w:themeColor="text1" w:themeTint="BF"/>
      <w:lang w:val="id-ID"/>
    </w:rPr>
  </w:style>
  <w:style w:type="paragraph" w:styleId="ListParagraph">
    <w:name w:val="List Paragraph"/>
    <w:basedOn w:val="Normal"/>
    <w:uiPriority w:val="34"/>
    <w:qFormat/>
    <w:rsid w:val="0004346F"/>
    <w:pPr>
      <w:ind w:left="720"/>
      <w:contextualSpacing/>
    </w:pPr>
  </w:style>
  <w:style w:type="character" w:styleId="IntenseEmphasis">
    <w:name w:val="Intense Emphasis"/>
    <w:basedOn w:val="DefaultParagraphFont"/>
    <w:uiPriority w:val="21"/>
    <w:qFormat/>
    <w:rsid w:val="0004346F"/>
    <w:rPr>
      <w:i/>
      <w:iCs/>
      <w:color w:val="2F5496" w:themeColor="accent1" w:themeShade="BF"/>
    </w:rPr>
  </w:style>
  <w:style w:type="paragraph" w:styleId="IntenseQuote">
    <w:name w:val="Intense Quote"/>
    <w:basedOn w:val="Normal"/>
    <w:next w:val="Normal"/>
    <w:link w:val="IntenseQuoteChar"/>
    <w:uiPriority w:val="30"/>
    <w:qFormat/>
    <w:rsid w:val="00043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46F"/>
    <w:rPr>
      <w:i/>
      <w:iCs/>
      <w:color w:val="2F5496" w:themeColor="accent1" w:themeShade="BF"/>
      <w:lang w:val="id-ID"/>
    </w:rPr>
  </w:style>
  <w:style w:type="character" w:styleId="IntenseReference">
    <w:name w:val="Intense Reference"/>
    <w:basedOn w:val="DefaultParagraphFont"/>
    <w:uiPriority w:val="32"/>
    <w:qFormat/>
    <w:rsid w:val="0004346F"/>
    <w:rPr>
      <w:b/>
      <w:bCs/>
      <w:smallCaps/>
      <w:color w:val="2F5496" w:themeColor="accent1" w:themeShade="BF"/>
      <w:spacing w:val="5"/>
    </w:rPr>
  </w:style>
  <w:style w:type="paragraph" w:customStyle="1" w:styleId="IJTechConflictofInterestTitle">
    <w:name w:val="IJTech_Conflict of Interest Title"/>
    <w:basedOn w:val="Normal"/>
    <w:link w:val="IJTechConflictofInterestTitleChar"/>
    <w:qFormat/>
    <w:rsid w:val="0004346F"/>
    <w:pPr>
      <w:adjustRightInd w:val="0"/>
      <w:snapToGrid w:val="0"/>
      <w:spacing w:before="240" w:after="60" w:line="280" w:lineRule="atLeast"/>
      <w:ind w:left="142"/>
      <w:outlineLvl w:val="0"/>
    </w:pPr>
    <w:rPr>
      <w:rFonts w:ascii="Palatino" w:eastAsia="Times New Roman" w:hAnsi="Palatino" w:cs="Palatino"/>
      <w:b/>
      <w:snapToGrid w:val="0"/>
      <w:color w:val="000000"/>
      <w:kern w:val="0"/>
      <w:lang w:val="en-GB" w:eastAsia="de-DE" w:bidi="en-US"/>
    </w:rPr>
  </w:style>
  <w:style w:type="character" w:customStyle="1" w:styleId="IJTechConflictofInterestTitleChar">
    <w:name w:val="IJTech_Conflict of Interest Title Char"/>
    <w:basedOn w:val="DefaultParagraphFont"/>
    <w:link w:val="IJTechConflictofInterestTitle"/>
    <w:rsid w:val="0004346F"/>
    <w:rPr>
      <w:rFonts w:ascii="Palatino" w:eastAsia="Times New Roman" w:hAnsi="Palatino" w:cs="Palatino"/>
      <w:b/>
      <w:snapToGrid w:val="0"/>
      <w:color w:val="000000"/>
      <w:kern w:val="0"/>
      <w:lang w:val="en-GB" w:eastAsia="de-DE" w:bidi="en-US"/>
    </w:rPr>
  </w:style>
  <w:style w:type="table" w:customStyle="1" w:styleId="ListTable6Colorful1">
    <w:name w:val="List Table 6 Colorful1"/>
    <w:basedOn w:val="TableNormal"/>
    <w:uiPriority w:val="51"/>
    <w:rsid w:val="00A17F4B"/>
    <w:pPr>
      <w:spacing w:after="0" w:line="240" w:lineRule="auto"/>
      <w:jc w:val="center"/>
    </w:pPr>
    <w:rPr>
      <w:rFonts w:ascii="Times New Roman" w:eastAsia="Times New Roman" w:hAnsi="Times New Roman" w:cs="Times New Roman"/>
      <w:color w:val="000000" w:themeColor="text1"/>
      <w:kern w:val="0"/>
      <w:sz w:val="24"/>
      <w:szCs w:val="20"/>
      <w:lang w:val="en-US"/>
      <w14:ligatures w14:val="none"/>
    </w:rPr>
    <w:tblPr>
      <w:tblStyleRowBandSize w:val="1"/>
      <w:tblStyleColBandSize w:val="1"/>
      <w:tblBorders>
        <w:top w:val="single" w:sz="12" w:space="0" w:color="auto"/>
        <w:bottom w:val="single" w:sz="12" w:space="0" w:color="auto"/>
      </w:tblBorders>
    </w:tblPr>
    <w:tcPr>
      <w:shd w:val="clear" w:color="auto" w:fill="auto"/>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 Yuniar</dc:creator>
  <cp:keywords/>
  <dc:description/>
  <cp:lastModifiedBy>yuniarfirda</cp:lastModifiedBy>
  <cp:revision>2</cp:revision>
  <dcterms:created xsi:type="dcterms:W3CDTF">2025-03-10T12:53:00Z</dcterms:created>
  <dcterms:modified xsi:type="dcterms:W3CDTF">2025-03-13T09:00:00Z</dcterms:modified>
</cp:coreProperties>
</file>