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1971" w14:textId="77777777" w:rsidR="001A688B" w:rsidRPr="0084593F" w:rsidRDefault="001A688B" w:rsidP="001A688B">
      <w:pPr>
        <w:tabs>
          <w:tab w:val="left" w:pos="450"/>
        </w:tabs>
        <w:spacing w:after="0"/>
        <w:rPr>
          <w:rFonts w:ascii="Palatino Linotype" w:eastAsia="Cambria" w:hAnsi="Palatino Linotype" w:cs="Cambria"/>
          <w:color w:val="000000" w:themeColor="text1"/>
          <w:szCs w:val="22"/>
        </w:rPr>
      </w:pP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>Table 2 Chemical composition of the synthesized ODS FeNiCrY</w:t>
      </w:r>
      <w:r w:rsidRPr="0084593F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2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>O</w:t>
      </w:r>
      <w:r w:rsidRPr="0084593F">
        <w:rPr>
          <w:rFonts w:ascii="Palatino Linotype" w:hAnsi="Palatino Linotype"/>
          <w:color w:val="000000" w:themeColor="text1"/>
          <w:szCs w:val="22"/>
          <w:vertAlign w:val="subscript"/>
          <w:lang w:val="en-US"/>
        </w:rPr>
        <w:t>3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 xml:space="preserve"> specimens. The specimens were obtained by </w:t>
      </w:r>
      <w:proofErr w:type="spellStart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>vacuum</w:t>
      </w:r>
      <w:proofErr w:type="spellEnd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 xml:space="preserve"> </w:t>
      </w:r>
      <w:proofErr w:type="spellStart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>electric</w:t>
      </w:r>
      <w:proofErr w:type="spellEnd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 xml:space="preserve"> </w:t>
      </w:r>
      <w:proofErr w:type="spellStart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>arc</w:t>
      </w:r>
      <w:proofErr w:type="spellEnd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 xml:space="preserve"> </w:t>
      </w:r>
      <w:proofErr w:type="spellStart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>furnace</w:t>
      </w:r>
      <w:proofErr w:type="spellEnd"/>
      <w:r w:rsidRPr="0084593F">
        <w:rPr>
          <w:rFonts w:ascii="Palatino Linotype" w:hAnsi="Palatino Linotype"/>
          <w:color w:val="000000" w:themeColor="text1"/>
          <w:szCs w:val="22"/>
          <w:lang w:val="id-ID"/>
        </w:rPr>
        <w:t xml:space="preserve"> (EAF)</w:t>
      </w:r>
      <w:r w:rsidRPr="0084593F">
        <w:rPr>
          <w:rFonts w:ascii="Palatino Linotype" w:hAnsi="Palatino Linotype"/>
          <w:color w:val="000000" w:themeColor="text1"/>
          <w:szCs w:val="22"/>
          <w:lang w:val="en-US"/>
        </w:rPr>
        <w:t xml:space="preserve"> of the mechanically alloyed powders</w:t>
      </w:r>
    </w:p>
    <w:tbl>
      <w:tblPr>
        <w:tblStyle w:val="ListTable21"/>
        <w:tblW w:w="5000" w:type="pct"/>
        <w:tblLook w:val="04A0" w:firstRow="1" w:lastRow="0" w:firstColumn="1" w:lastColumn="0" w:noHBand="0" w:noVBand="1"/>
      </w:tblPr>
      <w:tblGrid>
        <w:gridCol w:w="2269"/>
        <w:gridCol w:w="1844"/>
        <w:gridCol w:w="2246"/>
        <w:gridCol w:w="1524"/>
        <w:gridCol w:w="1477"/>
      </w:tblGrid>
      <w:tr w:rsidR="001A688B" w:rsidRPr="0084593F" w14:paraId="7D1A9C6D" w14:textId="77777777" w:rsidTr="00030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vMerge w:val="restar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540ACF21" w14:textId="77777777" w:rsidR="001A688B" w:rsidRPr="0084593F" w:rsidRDefault="001A688B" w:rsidP="00030453">
            <w:pPr>
              <w:spacing w:after="0"/>
              <w:jc w:val="center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  <w:t>Specimen</w:t>
            </w:r>
          </w:p>
        </w:tc>
        <w:tc>
          <w:tcPr>
            <w:tcW w:w="3788" w:type="pct"/>
            <w:gridSpan w:val="4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3DB8FEFA" w14:textId="77777777" w:rsidR="001A688B" w:rsidRPr="0084593F" w:rsidRDefault="001A688B" w:rsidP="0003045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  <w:t>Composition (wt.%)</w:t>
            </w:r>
          </w:p>
        </w:tc>
      </w:tr>
      <w:tr w:rsidR="001A688B" w:rsidRPr="0084593F" w14:paraId="1AB93032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vMerge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00EFF91D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color w:val="000000" w:themeColor="text1"/>
                <w:lang w:val="en-US"/>
              </w:rPr>
            </w:pPr>
          </w:p>
        </w:tc>
        <w:tc>
          <w:tcPr>
            <w:tcW w:w="985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11347639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Fe</w:t>
            </w:r>
          </w:p>
        </w:tc>
        <w:tc>
          <w:tcPr>
            <w:tcW w:w="1200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24A83463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Ni</w:t>
            </w:r>
          </w:p>
        </w:tc>
        <w:tc>
          <w:tcPr>
            <w:tcW w:w="814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63EE8A79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Cr</w:t>
            </w:r>
          </w:p>
        </w:tc>
        <w:tc>
          <w:tcPr>
            <w:tcW w:w="789" w:type="pct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5143379C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Y</w:t>
            </w:r>
            <w:r w:rsidRPr="0084593F">
              <w:rPr>
                <w:rFonts w:ascii="Palatino Linotype" w:hAnsi="Palatino Linotype"/>
                <w:color w:val="000000" w:themeColor="text1"/>
                <w:vertAlign w:val="subscript"/>
                <w:lang w:val="en-US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O</w:t>
            </w:r>
            <w:r w:rsidRPr="0084593F">
              <w:rPr>
                <w:rFonts w:ascii="Palatino Linotype" w:hAnsi="Palatino Linotype"/>
                <w:color w:val="000000" w:themeColor="text1"/>
                <w:vertAlign w:val="subscript"/>
                <w:lang w:val="en-US"/>
              </w:rPr>
              <w:t>3</w:t>
            </w:r>
          </w:p>
        </w:tc>
      </w:tr>
      <w:tr w:rsidR="001A688B" w:rsidRPr="0084593F" w14:paraId="3FF7D0F7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4D7A9D71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proofErr w:type="spellStart"/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  <w:t>FeNiCr</w:t>
            </w:r>
            <w:proofErr w:type="spellEnd"/>
          </w:p>
        </w:tc>
        <w:tc>
          <w:tcPr>
            <w:tcW w:w="985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73F6E97D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58.0</w:t>
            </w:r>
          </w:p>
        </w:tc>
        <w:tc>
          <w:tcPr>
            <w:tcW w:w="1200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626860C3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5954F886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single" w:sz="8" w:space="0" w:color="666666" w:themeColor="text1" w:themeTint="99"/>
              <w:bottom w:val="nil"/>
            </w:tcBorders>
            <w:shd w:val="clear" w:color="auto" w:fill="FFFFFF" w:themeFill="background1"/>
          </w:tcPr>
          <w:p w14:paraId="2BCF04CC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0.0</w:t>
            </w:r>
          </w:p>
        </w:tc>
      </w:tr>
      <w:tr w:rsidR="001A688B" w:rsidRPr="0084593F" w14:paraId="26063816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11858D1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FeNiCr-03Y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3</w:t>
            </w:r>
          </w:p>
        </w:tc>
        <w:tc>
          <w:tcPr>
            <w:tcW w:w="98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E140F89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57.7</w:t>
            </w:r>
          </w:p>
        </w:tc>
        <w:tc>
          <w:tcPr>
            <w:tcW w:w="120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2A4CACC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704A74A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89277AE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0.3</w:t>
            </w:r>
          </w:p>
        </w:tc>
      </w:tr>
      <w:tr w:rsidR="001A688B" w:rsidRPr="0084593F" w14:paraId="3977658D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7A270CB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FeNiCr-05Y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3</w:t>
            </w:r>
          </w:p>
        </w:tc>
        <w:tc>
          <w:tcPr>
            <w:tcW w:w="98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DCDFC8F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57.5</w:t>
            </w:r>
          </w:p>
        </w:tc>
        <w:tc>
          <w:tcPr>
            <w:tcW w:w="120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25EA123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358957A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86B5A64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0.5</w:t>
            </w:r>
          </w:p>
        </w:tc>
      </w:tr>
      <w:tr w:rsidR="001A688B" w:rsidRPr="0084593F" w14:paraId="4A067D16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47FA70B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FeNiCr-07Y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3</w:t>
            </w:r>
          </w:p>
        </w:tc>
        <w:tc>
          <w:tcPr>
            <w:tcW w:w="98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0381C27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57.3</w:t>
            </w:r>
          </w:p>
        </w:tc>
        <w:tc>
          <w:tcPr>
            <w:tcW w:w="120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39CBEC4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F4F1A54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8B1DA0A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0.7</w:t>
            </w:r>
          </w:p>
        </w:tc>
      </w:tr>
      <w:tr w:rsidR="001A688B" w:rsidRPr="0084593F" w14:paraId="4F1B65CB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5F98B75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FeNiCr-10Y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3</w:t>
            </w:r>
          </w:p>
        </w:tc>
        <w:tc>
          <w:tcPr>
            <w:tcW w:w="98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167F8E0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57.0</w:t>
            </w:r>
          </w:p>
        </w:tc>
        <w:tc>
          <w:tcPr>
            <w:tcW w:w="120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CC3561C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CCB3482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AAA3761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1.0</w:t>
            </w:r>
          </w:p>
        </w:tc>
      </w:tr>
      <w:tr w:rsidR="001A688B" w:rsidRPr="0084593F" w14:paraId="77ACC81B" w14:textId="77777777" w:rsidTr="00030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91D099D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FeNiCr-15Y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3</w:t>
            </w:r>
          </w:p>
        </w:tc>
        <w:tc>
          <w:tcPr>
            <w:tcW w:w="985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A06C951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56.5</w:t>
            </w:r>
          </w:p>
        </w:tc>
        <w:tc>
          <w:tcPr>
            <w:tcW w:w="120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165F6E1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FBCD009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985A8E2" w14:textId="77777777" w:rsidR="001A688B" w:rsidRPr="0084593F" w:rsidRDefault="001A688B" w:rsidP="0003045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1.5</w:t>
            </w:r>
          </w:p>
        </w:tc>
      </w:tr>
      <w:tr w:rsidR="001A688B" w:rsidRPr="0084593F" w14:paraId="6A513EFC" w14:textId="77777777" w:rsidTr="000304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3A85A420" w14:textId="77777777" w:rsidR="001A688B" w:rsidRPr="0084593F" w:rsidRDefault="001A688B" w:rsidP="00030453">
            <w:pPr>
              <w:spacing w:after="0"/>
              <w:rPr>
                <w:rFonts w:ascii="Palatino Linotype" w:hAnsi="Palatino Linotype"/>
                <w:b w:val="0"/>
                <w:bCs w:val="0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FeNiCr-20Y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</w:rPr>
              <w:t>O</w:t>
            </w:r>
            <w:r w:rsidRPr="0084593F">
              <w:rPr>
                <w:rFonts w:ascii="Palatino Linotype" w:hAnsi="Palatino Linotype"/>
                <w:b w:val="0"/>
                <w:bCs w:val="0"/>
                <w:color w:val="000000" w:themeColor="text1"/>
                <w:vertAlign w:val="subscript"/>
              </w:rPr>
              <w:t>3</w:t>
            </w:r>
          </w:p>
        </w:tc>
        <w:tc>
          <w:tcPr>
            <w:tcW w:w="985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33F64441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56.0</w:t>
            </w:r>
          </w:p>
        </w:tc>
        <w:tc>
          <w:tcPr>
            <w:tcW w:w="1200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09A54948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</w:rPr>
              <w:t>2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5</w:t>
            </w:r>
            <w:r w:rsidRPr="0084593F">
              <w:rPr>
                <w:rFonts w:ascii="Palatino Linotype" w:hAnsi="Palatino Linotype"/>
                <w:color w:val="000000" w:themeColor="text1"/>
              </w:rPr>
              <w:t>.</w:t>
            </w: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0</w:t>
            </w:r>
          </w:p>
        </w:tc>
        <w:tc>
          <w:tcPr>
            <w:tcW w:w="814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24F91691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17.0</w:t>
            </w:r>
          </w:p>
        </w:tc>
        <w:tc>
          <w:tcPr>
            <w:tcW w:w="789" w:type="pct"/>
            <w:tcBorders>
              <w:top w:val="nil"/>
              <w:bottom w:val="single" w:sz="8" w:space="0" w:color="666666" w:themeColor="text1" w:themeTint="99"/>
            </w:tcBorders>
            <w:shd w:val="clear" w:color="auto" w:fill="FFFFFF" w:themeFill="background1"/>
          </w:tcPr>
          <w:p w14:paraId="02E37020" w14:textId="77777777" w:rsidR="001A688B" w:rsidRPr="0084593F" w:rsidRDefault="001A688B" w:rsidP="0003045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  <w:lang w:val="en-US"/>
              </w:rPr>
            </w:pPr>
            <w:r w:rsidRPr="0084593F">
              <w:rPr>
                <w:rFonts w:ascii="Palatino Linotype" w:hAnsi="Palatino Linotype"/>
                <w:color w:val="000000" w:themeColor="text1"/>
                <w:lang w:val="en-US"/>
              </w:rPr>
              <w:t>2.0</w:t>
            </w:r>
          </w:p>
        </w:tc>
      </w:tr>
    </w:tbl>
    <w:p w14:paraId="49EA2EB4" w14:textId="77777777" w:rsidR="001A688B" w:rsidRPr="0084593F" w:rsidRDefault="001A688B" w:rsidP="001A688B">
      <w:pPr>
        <w:tabs>
          <w:tab w:val="left" w:pos="450"/>
        </w:tabs>
        <w:spacing w:after="0"/>
        <w:rPr>
          <w:rFonts w:ascii="Palatino Linotype" w:eastAsia="Cambria" w:hAnsi="Palatino Linotype" w:cs="Cambria"/>
          <w:color w:val="000000" w:themeColor="text1"/>
          <w:szCs w:val="22"/>
        </w:rPr>
      </w:pPr>
    </w:p>
    <w:p w14:paraId="2B3E7E1A" w14:textId="77777777" w:rsidR="00295962" w:rsidRPr="00366B47" w:rsidRDefault="00295962" w:rsidP="00366B47"/>
    <w:sectPr w:rsidR="00295962" w:rsidRPr="0036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DA"/>
    <w:rsid w:val="001766BB"/>
    <w:rsid w:val="001A688B"/>
    <w:rsid w:val="00295962"/>
    <w:rsid w:val="00366B47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7306"/>
  <w15:chartTrackingRefBased/>
  <w15:docId w15:val="{097D0BD1-3B8E-4EDF-9B8C-06E9260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A"/>
    <w:pPr>
      <w:spacing w:after="120" w:line="240" w:lineRule="auto"/>
      <w:jc w:val="both"/>
    </w:pPr>
    <w:rPr>
      <w:rFonts w:ascii="Times New Roman" w:eastAsia="MS Mincho" w:hAnsi="Times New Roman" w:cs="Times New Roman"/>
      <w:kern w:val="0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E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E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E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E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ED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ED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E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E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E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ED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E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E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EDA"/>
    <w:rPr>
      <w:b/>
      <w:bCs/>
      <w:smallCaps/>
      <w:color w:val="365F91" w:themeColor="accent1" w:themeShade="BF"/>
      <w:spacing w:val="5"/>
    </w:rPr>
  </w:style>
  <w:style w:type="paragraph" w:customStyle="1" w:styleId="Newparagraph">
    <w:name w:val="New paragraph"/>
    <w:basedOn w:val="Normal"/>
    <w:qFormat/>
    <w:rsid w:val="00F52EDA"/>
    <w:pPr>
      <w:spacing w:after="0" w:line="480" w:lineRule="auto"/>
      <w:ind w:firstLine="720"/>
      <w:jc w:val="left"/>
    </w:pPr>
    <w:rPr>
      <w:rFonts w:eastAsiaTheme="minorEastAsia"/>
      <w:sz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F52EDA"/>
    <w:pPr>
      <w:spacing w:before="240" w:after="0" w:line="360" w:lineRule="auto"/>
      <w:jc w:val="left"/>
    </w:pPr>
    <w:rPr>
      <w:rFonts w:eastAsiaTheme="minorEastAsia"/>
      <w:sz w:val="24"/>
      <w:lang w:eastAsia="en-GB"/>
    </w:rPr>
  </w:style>
  <w:style w:type="table" w:customStyle="1" w:styleId="GridTable6Colorful1">
    <w:name w:val="Grid Table 6 Colorful1"/>
    <w:basedOn w:val="TableNormal"/>
    <w:uiPriority w:val="51"/>
    <w:rsid w:val="00F52EDA"/>
    <w:pPr>
      <w:spacing w:after="0" w:line="240" w:lineRule="auto"/>
    </w:pPr>
    <w:rPr>
      <w:rFonts w:eastAsiaTheme="minorEastAsia"/>
      <w:color w:val="000000" w:themeColor="text1"/>
      <w:sz w:val="24"/>
      <w:szCs w:val="24"/>
      <w:lang w:val="id-ID"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qFormat/>
    <w:rsid w:val="00366B47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1A688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Parikin, M.Eng.</dc:creator>
  <cp:keywords/>
  <dc:description/>
  <cp:lastModifiedBy>Drs. Parikin, M.Eng.</cp:lastModifiedBy>
  <cp:revision>2</cp:revision>
  <dcterms:created xsi:type="dcterms:W3CDTF">2025-01-15T06:47:00Z</dcterms:created>
  <dcterms:modified xsi:type="dcterms:W3CDTF">2025-01-15T06:47:00Z</dcterms:modified>
</cp:coreProperties>
</file>