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A8D1B" w14:textId="4D2694A9" w:rsidR="008256A1" w:rsidRPr="001D04E0" w:rsidRDefault="003B17DF" w:rsidP="001D04E0">
      <w:pPr>
        <w:spacing w:before="360" w:after="0"/>
        <w:jc w:val="left"/>
        <w:rPr>
          <w:rFonts w:ascii="Cambria" w:hAnsi="Cambria"/>
          <w:bCs/>
          <w:caps/>
          <w:sz w:val="28"/>
          <w:szCs w:val="28"/>
        </w:rPr>
      </w:pPr>
      <w:r w:rsidRPr="003B17DF">
        <w:rPr>
          <w:rFonts w:ascii="Cambria" w:hAnsi="Cambria"/>
          <w:sz w:val="28"/>
          <w:szCs w:val="28"/>
        </w:rPr>
        <w:t>Cognitive Model of Financial Stability of the Domestic Economy Based on Artificial Intelligence in Conditions of Uncertainty and Risk</w:t>
      </w:r>
    </w:p>
    <w:p w14:paraId="1C844800" w14:textId="77777777" w:rsidR="00B7269B" w:rsidRPr="001D04E0" w:rsidRDefault="00B7269B" w:rsidP="001D04E0">
      <w:pPr>
        <w:spacing w:after="0"/>
        <w:jc w:val="left"/>
        <w:rPr>
          <w:rFonts w:ascii="Cambria" w:hAnsi="Cambria"/>
          <w:b/>
          <w:bCs/>
          <w:caps/>
          <w:sz w:val="24"/>
        </w:rPr>
      </w:pPr>
    </w:p>
    <w:p w14:paraId="19CAF4A8" w14:textId="0E814B61" w:rsidR="00437914" w:rsidRPr="00C96EFF" w:rsidRDefault="003B17DF" w:rsidP="001D04E0">
      <w:pPr>
        <w:spacing w:after="0"/>
        <w:jc w:val="left"/>
        <w:rPr>
          <w:szCs w:val="22"/>
          <w:highlight w:val="yellow"/>
          <w:lang w:val="en-US"/>
        </w:rPr>
      </w:pPr>
      <w:r w:rsidRPr="003B17DF">
        <w:rPr>
          <w:rFonts w:ascii="Cambria" w:hAnsi="Cambria"/>
          <w:sz w:val="24"/>
          <w:lang w:val="id-ID"/>
        </w:rPr>
        <w:t>Nikolay Lomakin</w:t>
      </w:r>
      <w:r w:rsidRPr="003B17DF">
        <w:rPr>
          <w:rFonts w:ascii="Cambria" w:hAnsi="Cambria"/>
          <w:sz w:val="24"/>
          <w:vertAlign w:val="superscript"/>
          <w:lang w:val="id-ID"/>
        </w:rPr>
        <w:t>1</w:t>
      </w:r>
      <w:r w:rsidR="008256A1" w:rsidRPr="001D04E0">
        <w:rPr>
          <w:rStyle w:val="af7"/>
          <w:rFonts w:ascii="Cambria" w:hAnsi="Cambria"/>
          <w:sz w:val="24"/>
        </w:rPr>
        <w:endnoteReference w:id="1"/>
      </w:r>
      <w:r w:rsidR="001635B5" w:rsidRPr="001D04E0">
        <w:rPr>
          <w:rFonts w:ascii="Cambria" w:hAnsi="Cambria"/>
          <w:sz w:val="24"/>
          <w:lang w:val="en-US"/>
        </w:rPr>
        <w:t xml:space="preserve">, </w:t>
      </w:r>
      <w:r w:rsidRPr="003B17DF">
        <w:rPr>
          <w:rFonts w:ascii="Cambria" w:hAnsi="Cambria"/>
          <w:sz w:val="24"/>
          <w:lang w:val="id-ID"/>
        </w:rPr>
        <w:t>Maxim Maramygin</w:t>
      </w:r>
      <w:r w:rsidRPr="003B17DF">
        <w:rPr>
          <w:rFonts w:ascii="Cambria" w:hAnsi="Cambria"/>
          <w:sz w:val="24"/>
          <w:vertAlign w:val="superscript"/>
          <w:lang w:val="id-ID"/>
        </w:rPr>
        <w:t>2</w:t>
      </w:r>
      <w:r w:rsidR="001D5BB3" w:rsidRPr="001D5BB3">
        <w:rPr>
          <w:rFonts w:ascii="Cambria" w:hAnsi="Cambria"/>
          <w:sz w:val="24"/>
          <w:lang w:val="id-ID"/>
        </w:rPr>
        <w:t xml:space="preserve">, </w:t>
      </w:r>
      <w:r w:rsidRPr="003B17DF">
        <w:rPr>
          <w:rFonts w:ascii="Cambria" w:hAnsi="Cambria"/>
          <w:sz w:val="24"/>
          <w:lang w:val="id-ID"/>
        </w:rPr>
        <w:t>Alexander Kataev</w:t>
      </w:r>
      <w:r w:rsidR="001D5BB3" w:rsidRPr="001D5BB3">
        <w:rPr>
          <w:rFonts w:ascii="Cambria" w:hAnsi="Cambria"/>
          <w:sz w:val="24"/>
          <w:vertAlign w:val="superscript"/>
          <w:lang w:val="id-ID"/>
        </w:rPr>
        <w:t>1</w:t>
      </w:r>
      <w:r w:rsidR="001D5BB3" w:rsidRPr="001D5BB3">
        <w:rPr>
          <w:rFonts w:ascii="Cambria" w:hAnsi="Cambria"/>
          <w:sz w:val="24"/>
          <w:lang w:val="id-ID"/>
        </w:rPr>
        <w:t xml:space="preserve">, </w:t>
      </w:r>
      <w:r w:rsidRPr="003B17DF">
        <w:rPr>
          <w:rFonts w:ascii="Cambria" w:hAnsi="Cambria"/>
          <w:sz w:val="24"/>
          <w:lang w:val="id-ID"/>
        </w:rPr>
        <w:t>Sergey Kraschenko</w:t>
      </w:r>
      <w:r>
        <w:rPr>
          <w:rFonts w:ascii="Cambria" w:hAnsi="Cambria"/>
          <w:sz w:val="24"/>
          <w:vertAlign w:val="superscript"/>
          <w:lang w:val="en-US"/>
        </w:rPr>
        <w:t>3</w:t>
      </w:r>
      <w:r w:rsidR="001D5BB3" w:rsidRPr="001D5BB3">
        <w:rPr>
          <w:rFonts w:ascii="Cambria" w:hAnsi="Cambria"/>
          <w:sz w:val="24"/>
          <w:lang w:val="id-ID"/>
        </w:rPr>
        <w:t xml:space="preserve">, </w:t>
      </w:r>
      <w:r w:rsidRPr="003B17DF">
        <w:rPr>
          <w:rFonts w:ascii="Cambria" w:hAnsi="Cambria"/>
          <w:sz w:val="24"/>
          <w:lang w:val="id-ID"/>
        </w:rPr>
        <w:t xml:space="preserve">Olga Yurova </w:t>
      </w:r>
      <w:r>
        <w:rPr>
          <w:rFonts w:ascii="Cambria" w:hAnsi="Cambria"/>
          <w:sz w:val="24"/>
          <w:vertAlign w:val="superscript"/>
          <w:lang w:val="en-US"/>
        </w:rPr>
        <w:t>1</w:t>
      </w:r>
      <w:r w:rsidR="00C96EFF">
        <w:rPr>
          <w:rFonts w:ascii="Cambria" w:hAnsi="Cambria"/>
          <w:sz w:val="24"/>
          <w:lang w:val="en-US"/>
        </w:rPr>
        <w:t>, Ivan Lomakin</w:t>
      </w:r>
      <w:r w:rsidR="00C96EFF" w:rsidRPr="00C96EFF">
        <w:rPr>
          <w:rFonts w:ascii="Cambria" w:hAnsi="Cambria"/>
          <w:sz w:val="24"/>
          <w:vertAlign w:val="superscript"/>
          <w:lang w:val="en-US"/>
        </w:rPr>
        <w:t>1</w:t>
      </w:r>
    </w:p>
    <w:p w14:paraId="1A187D8B" w14:textId="77777777" w:rsidR="001D5BB3" w:rsidRDefault="001D5BB3" w:rsidP="001D04E0">
      <w:pPr>
        <w:spacing w:after="0"/>
        <w:ind w:left="90" w:right="263" w:hanging="90"/>
        <w:jc w:val="left"/>
        <w:rPr>
          <w:rFonts w:ascii="Cambria" w:hAnsi="Cambria"/>
          <w:sz w:val="20"/>
          <w:szCs w:val="20"/>
          <w:vertAlign w:val="superscript"/>
        </w:rPr>
      </w:pPr>
    </w:p>
    <w:p w14:paraId="55832674" w14:textId="77777777" w:rsidR="00C96EFF" w:rsidRDefault="00F66966" w:rsidP="00C96EFF">
      <w:pPr>
        <w:spacing w:after="0"/>
        <w:ind w:left="90" w:right="263" w:hanging="90"/>
        <w:jc w:val="left"/>
        <w:rPr>
          <w:rFonts w:ascii="Cambria" w:hAnsi="Cambria"/>
          <w:i/>
          <w:sz w:val="20"/>
          <w:szCs w:val="20"/>
        </w:rPr>
      </w:pPr>
      <w:r w:rsidRPr="001D04E0">
        <w:rPr>
          <w:rFonts w:ascii="Cambria" w:hAnsi="Cambria"/>
          <w:sz w:val="20"/>
          <w:szCs w:val="20"/>
          <w:vertAlign w:val="superscript"/>
        </w:rPr>
        <w:t>1</w:t>
      </w:r>
      <w:r w:rsidR="00C96EFF" w:rsidRPr="00C96EFF">
        <w:t xml:space="preserve"> </w:t>
      </w:r>
      <w:r w:rsidR="00C96EFF" w:rsidRPr="00C96EFF">
        <w:rPr>
          <w:rFonts w:ascii="Cambria" w:hAnsi="Cambria"/>
          <w:i/>
          <w:sz w:val="20"/>
          <w:szCs w:val="20"/>
        </w:rPr>
        <w:t>Volgograd State Technical University, ave. V.I. Lenina, 28, 400005, Russia</w:t>
      </w:r>
    </w:p>
    <w:p w14:paraId="4452191D" w14:textId="029C766F" w:rsidR="001D5BB3" w:rsidRDefault="00BE4B5F" w:rsidP="00C96EFF">
      <w:pPr>
        <w:spacing w:after="0"/>
        <w:ind w:left="90" w:right="263" w:hanging="90"/>
        <w:jc w:val="left"/>
        <w:rPr>
          <w:rFonts w:ascii="Cambria" w:hAnsi="Cambria"/>
          <w:i/>
          <w:sz w:val="20"/>
          <w:szCs w:val="20"/>
        </w:rPr>
      </w:pPr>
      <w:r w:rsidRPr="00F074F7">
        <w:rPr>
          <w:rFonts w:ascii="Cambria" w:hAnsi="Cambria"/>
          <w:sz w:val="20"/>
          <w:szCs w:val="20"/>
          <w:vertAlign w:val="superscript"/>
          <w:lang w:val="id-ID"/>
        </w:rPr>
        <w:t>2</w:t>
      </w:r>
      <w:r w:rsidR="00C96EFF" w:rsidRPr="00C96EFF">
        <w:t xml:space="preserve"> </w:t>
      </w:r>
      <w:r w:rsidR="00C96EFF" w:rsidRPr="00C96EFF">
        <w:rPr>
          <w:rFonts w:ascii="Cambria" w:hAnsi="Cambria"/>
          <w:i/>
          <w:sz w:val="20"/>
          <w:szCs w:val="20"/>
        </w:rPr>
        <w:t>Ural State University of Economics, 8 Marta st., 62, Yekaterinburg, 620144, Russia</w:t>
      </w:r>
    </w:p>
    <w:p w14:paraId="4778360C" w14:textId="4BE74769" w:rsidR="00C96EFF" w:rsidRPr="00F074F7" w:rsidRDefault="00C96EFF" w:rsidP="00C96EFF">
      <w:pPr>
        <w:spacing w:after="0"/>
        <w:ind w:left="90" w:right="263" w:hanging="90"/>
        <w:jc w:val="left"/>
        <w:rPr>
          <w:rFonts w:ascii="Cambria" w:hAnsi="Cambria"/>
          <w:i/>
          <w:sz w:val="20"/>
          <w:szCs w:val="20"/>
        </w:rPr>
      </w:pPr>
      <w:r w:rsidRPr="00C96EFF">
        <w:rPr>
          <w:rFonts w:ascii="Cambria" w:hAnsi="Cambria"/>
          <w:i/>
          <w:sz w:val="20"/>
          <w:szCs w:val="20"/>
          <w:vertAlign w:val="superscript"/>
        </w:rPr>
        <w:t xml:space="preserve">3 </w:t>
      </w:r>
      <w:r w:rsidRPr="00C96EFF">
        <w:rPr>
          <w:rFonts w:ascii="Cambria" w:hAnsi="Cambria"/>
          <w:i/>
          <w:sz w:val="20"/>
          <w:szCs w:val="20"/>
        </w:rPr>
        <w:t>Volgograd branch of the PRUE G.V. Plekhanov, st. Volgodonskaya, 11, Volgograd, 400066, Russia</w:t>
      </w:r>
    </w:p>
    <w:p w14:paraId="1C9A3F49" w14:textId="77777777" w:rsidR="00AA1529" w:rsidRPr="00BE4B5F" w:rsidRDefault="00AA1529" w:rsidP="001D5BB3">
      <w:pPr>
        <w:spacing w:after="0"/>
        <w:ind w:left="90" w:right="263" w:hanging="90"/>
        <w:jc w:val="left"/>
        <w:rPr>
          <w:i/>
          <w:szCs w:val="22"/>
        </w:rPr>
      </w:pPr>
    </w:p>
    <w:p w14:paraId="647A8D83" w14:textId="77777777" w:rsidR="00CB373D" w:rsidRPr="00292860" w:rsidRDefault="00CB373D" w:rsidP="00CB373D">
      <w:pPr>
        <w:spacing w:after="0"/>
        <w:rPr>
          <w:iCs/>
          <w:sz w:val="24"/>
        </w:rPr>
      </w:pPr>
    </w:p>
    <w:p w14:paraId="236EFA0D" w14:textId="0F3E740B" w:rsidR="00C56BA3" w:rsidRPr="00C56BA3" w:rsidRDefault="002F0C1B" w:rsidP="00C56BA3">
      <w:pPr>
        <w:pStyle w:val="AbstracttitleDERJournal"/>
        <w:spacing w:before="0"/>
        <w:ind w:right="-248"/>
        <w:jc w:val="both"/>
        <w:rPr>
          <w:rFonts w:ascii="Cambria" w:hAnsi="Cambria"/>
          <w:b w:val="0"/>
          <w:szCs w:val="22"/>
          <w:lang w:val="en-US"/>
        </w:rPr>
      </w:pPr>
      <w:r w:rsidRPr="002F0C1B">
        <w:rPr>
          <w:rFonts w:ascii="Cambria" w:hAnsi="Cambria"/>
          <w:szCs w:val="22"/>
          <w:lang w:val="en-GB"/>
        </w:rPr>
        <w:t xml:space="preserve">Abstract. </w:t>
      </w:r>
      <w:bookmarkStart w:id="0" w:name="_Toc40091162"/>
      <w:bookmarkStart w:id="1" w:name="_Toc40188798"/>
      <w:r w:rsidR="00C56BA3" w:rsidRPr="00C56BA3">
        <w:rPr>
          <w:rFonts w:ascii="Cambria" w:hAnsi="Cambria"/>
          <w:b w:val="0"/>
          <w:szCs w:val="22"/>
          <w:highlight w:val="yellow"/>
          <w:lang w:val="en-GB"/>
        </w:rPr>
        <w:t>The relevance of the study lies in the fact that an important problem is to ensure the sustainability of the development of the Russian economy, its financial system under the influence of many factors, among which are: increased risks and market uncertainty, aggravation of the global military-political confrontation between the largest world powers, as well as technological innovations, associated with the emergence of a new technological order "Industry 4.0".</w:t>
      </w:r>
      <w:r w:rsidR="00C56BA3" w:rsidRPr="00C56BA3">
        <w:rPr>
          <w:rFonts w:ascii="Cambria" w:hAnsi="Cambria"/>
          <w:b w:val="0"/>
          <w:szCs w:val="22"/>
          <w:highlight w:val="yellow"/>
          <w:lang w:val="en-US"/>
        </w:rPr>
        <w:t xml:space="preserve"> The purpose of the work is to study the financial stability of the state as a complex system based on a cognitive model that involves the use of an artificial intelligence system and a VaR model.</w:t>
      </w:r>
      <w:r w:rsidR="00C56BA3" w:rsidRPr="00C56BA3">
        <w:rPr>
          <w:highlight w:val="yellow"/>
        </w:rPr>
        <w:t xml:space="preserve"> </w:t>
      </w:r>
      <w:r w:rsidR="00C56BA3" w:rsidRPr="00C56BA3">
        <w:rPr>
          <w:rFonts w:ascii="Cambria" w:hAnsi="Cambria"/>
          <w:b w:val="0"/>
          <w:szCs w:val="22"/>
          <w:highlight w:val="yellow"/>
          <w:lang w:val="en-US"/>
        </w:rPr>
        <w:t>The novelty of the study lies in the proposed approach, which involves the formation of a cognitive model of economic processes using the artificial intelligence system "Decision Tree" and VaR models that form GDP forecasts with their subsequent comparison.</w:t>
      </w:r>
      <w:r w:rsidR="00C56BA3" w:rsidRPr="00C56BA3">
        <w:rPr>
          <w:highlight w:val="yellow"/>
        </w:rPr>
        <w:t xml:space="preserve"> </w:t>
      </w:r>
      <w:r w:rsidR="00C56BA3" w:rsidRPr="00C56BA3">
        <w:rPr>
          <w:rFonts w:ascii="Cambria" w:hAnsi="Cambria"/>
          <w:b w:val="0"/>
          <w:szCs w:val="22"/>
          <w:highlight w:val="yellow"/>
          <w:lang w:val="en-US"/>
        </w:rPr>
        <w:t>A hypothesis has been put forward and proved that with the help of a cognitive model that includes an AI system and a VaR model, it is possible to obtain a forecast of the volume of Russia's GDP, the dynamics of which allows us to assess the sustainability of the development of the country's economy.</w:t>
      </w:r>
    </w:p>
    <w:p w14:paraId="5CE1CA93" w14:textId="1CE13A61" w:rsidR="00C91230" w:rsidRPr="002F0C1B" w:rsidRDefault="00FD5860" w:rsidP="002F0C1B">
      <w:pPr>
        <w:spacing w:after="0"/>
        <w:ind w:left="1170" w:hanging="1170"/>
        <w:jc w:val="left"/>
        <w:rPr>
          <w:rFonts w:ascii="Cambria" w:hAnsi="Cambria"/>
          <w:szCs w:val="22"/>
          <w:lang w:val="id-ID"/>
        </w:rPr>
      </w:pPr>
      <w:r w:rsidRPr="002F0C1B">
        <w:rPr>
          <w:rFonts w:ascii="Cambria" w:hAnsi="Cambria"/>
          <w:i/>
          <w:iCs/>
          <w:szCs w:val="22"/>
        </w:rPr>
        <w:t>Keywords:</w:t>
      </w:r>
      <w:r w:rsidR="009217E9" w:rsidRPr="002F0C1B">
        <w:rPr>
          <w:rFonts w:ascii="Cambria" w:hAnsi="Cambria"/>
          <w:szCs w:val="22"/>
        </w:rPr>
        <w:tab/>
      </w:r>
      <w:r w:rsidR="00C96EFF" w:rsidRPr="00C96EFF">
        <w:rPr>
          <w:rFonts w:ascii="Cambria" w:hAnsi="Cambria"/>
          <w:szCs w:val="22"/>
          <w:lang w:val="id-ID"/>
        </w:rPr>
        <w:t>Cognitive model; financial stability; market uncertainty; risk; decision tree</w:t>
      </w:r>
    </w:p>
    <w:p w14:paraId="5D255838" w14:textId="77777777" w:rsidR="00C91230" w:rsidRPr="008B0FFF" w:rsidRDefault="00C91230" w:rsidP="00FB0BE0">
      <w:pPr>
        <w:spacing w:after="0"/>
        <w:ind w:left="1166" w:hanging="86"/>
        <w:rPr>
          <w:sz w:val="24"/>
        </w:rPr>
      </w:pPr>
    </w:p>
    <w:p w14:paraId="7CB64EFB" w14:textId="77777777" w:rsidR="005C2BE3" w:rsidRPr="002F0C1B" w:rsidRDefault="002F0C1B" w:rsidP="007970B8">
      <w:pPr>
        <w:pStyle w:val="Text"/>
        <w:tabs>
          <w:tab w:val="left" w:pos="426"/>
        </w:tabs>
        <w:spacing w:after="120" w:line="240" w:lineRule="auto"/>
        <w:ind w:firstLine="0"/>
        <w:rPr>
          <w:rFonts w:ascii="Cambria" w:hAnsi="Cambria"/>
          <w:b/>
          <w:bCs/>
          <w:kern w:val="28"/>
          <w:sz w:val="24"/>
          <w:szCs w:val="24"/>
        </w:rPr>
      </w:pPr>
      <w:r w:rsidRPr="002F0C1B">
        <w:rPr>
          <w:rFonts w:ascii="Cambria" w:hAnsi="Cambria"/>
          <w:b/>
          <w:bCs/>
          <w:kern w:val="28"/>
          <w:sz w:val="24"/>
          <w:szCs w:val="24"/>
        </w:rPr>
        <w:t>1.</w:t>
      </w:r>
      <w:r w:rsidRPr="002F0C1B">
        <w:rPr>
          <w:rFonts w:ascii="Cambria" w:hAnsi="Cambria"/>
          <w:b/>
          <w:bCs/>
          <w:kern w:val="28"/>
          <w:sz w:val="24"/>
          <w:szCs w:val="24"/>
        </w:rPr>
        <w:tab/>
        <w:t>Introduction</w:t>
      </w:r>
    </w:p>
    <w:p w14:paraId="5A8FBD8E" w14:textId="77777777" w:rsidR="00894F50" w:rsidRPr="00894F50" w:rsidRDefault="00894F50" w:rsidP="00EF541B">
      <w:pPr>
        <w:snapToGrid w:val="0"/>
        <w:spacing w:after="60"/>
        <w:ind w:right="-106" w:firstLine="446"/>
        <w:rPr>
          <w:rFonts w:ascii="Cambria" w:hAnsi="Cambria"/>
          <w:sz w:val="24"/>
        </w:rPr>
      </w:pPr>
      <w:r w:rsidRPr="00894F50">
        <w:rPr>
          <w:rFonts w:ascii="Cambria" w:hAnsi="Cambria"/>
          <w:sz w:val="24"/>
        </w:rPr>
        <w:t xml:space="preserve">The purpose of the work is to study the financial stability of the state as a complex system based on a cognitive model that involves the use of an artificial intelligence system and a VaR model. Calculate the forecast values of the volume of the gross domestic product of the Russian Federation using artificial intelligence systems and the VaR method. </w:t>
      </w:r>
    </w:p>
    <w:p w14:paraId="5767C627" w14:textId="77777777" w:rsidR="00894F50" w:rsidRPr="00894F50" w:rsidRDefault="00894F50" w:rsidP="00EF541B">
      <w:pPr>
        <w:snapToGrid w:val="0"/>
        <w:spacing w:after="60"/>
        <w:ind w:right="-106" w:firstLine="446"/>
        <w:rPr>
          <w:rFonts w:ascii="Cambria" w:hAnsi="Cambria"/>
          <w:sz w:val="24"/>
        </w:rPr>
      </w:pPr>
      <w:r w:rsidRPr="00894F50">
        <w:rPr>
          <w:rFonts w:ascii="Cambria" w:hAnsi="Cambria"/>
          <w:sz w:val="24"/>
        </w:rPr>
        <w:t xml:space="preserve">To achieve this goal, the following tasks are set and solved: 1) to study the theoretical foundations of the financial stability of the country's economy, the formation of GDP and the value of exports, 2) to study the factors that determine the sustainability of economic development; 3) calculate the forecast values of the GDP volume in two different ways: both using the Decision Tree neural network and using the VaR model system; 4) compare the accuracy of forecasts obtained by different methods. </w:t>
      </w:r>
    </w:p>
    <w:p w14:paraId="3401B4A9" w14:textId="4A530175" w:rsidR="00A45B1C" w:rsidRDefault="00894F50" w:rsidP="00EF541B">
      <w:pPr>
        <w:snapToGrid w:val="0"/>
        <w:spacing w:after="60"/>
        <w:ind w:right="36" w:firstLine="446"/>
        <w:rPr>
          <w:rFonts w:ascii="Cambria" w:hAnsi="Cambria"/>
          <w:sz w:val="24"/>
        </w:rPr>
      </w:pPr>
      <w:r w:rsidRPr="00894F50">
        <w:rPr>
          <w:rFonts w:ascii="Cambria" w:hAnsi="Cambria"/>
          <w:sz w:val="24"/>
        </w:rPr>
        <w:t xml:space="preserve">The relevance of the study comes from a problem of ensuring stability of the development of the Russian economy in the face of increasing market uncertainty and the action of a number of factors due to: the consequences of the COVID-19 pandemic, increased economic sanctions from the United States and the eurozone countries, the aggravation of the global military-political confrontation, the changing economic landscape, the emergence of a new technological way of "Industry 4.0" and others.  The </w:t>
      </w:r>
      <w:r w:rsidRPr="00894F50">
        <w:rPr>
          <w:rFonts w:ascii="Cambria" w:hAnsi="Cambria"/>
          <w:sz w:val="24"/>
        </w:rPr>
        <w:lastRenderedPageBreak/>
        <w:t>novelty of the study is determined by the fact that an approach is proposed to fill the gap, which concerns the problem of the lack of a reliable approach to using a cognitive model to form an accurate forecast of GDP in order to achieve sustainable development of the domestic economy. Getting a correct forecast of the volume of gross domestic product in the face of market uncertainty is essential.</w:t>
      </w:r>
    </w:p>
    <w:p w14:paraId="2C85A8F0" w14:textId="77777777" w:rsidR="00C4626C" w:rsidRPr="00894F50" w:rsidRDefault="00C4626C" w:rsidP="00C4626C">
      <w:pPr>
        <w:pStyle w:val="TEXTs"/>
        <w:spacing w:after="0"/>
        <w:ind w:right="280"/>
        <w:rPr>
          <w:rFonts w:ascii="Cambria" w:hAnsi="Cambria"/>
          <w:bCs/>
          <w:kern w:val="28"/>
          <w:sz w:val="24"/>
          <w:lang w:val="id-ID"/>
        </w:rPr>
      </w:pPr>
      <w:r w:rsidRPr="00894F50">
        <w:rPr>
          <w:rFonts w:ascii="Cambria" w:hAnsi="Cambria"/>
          <w:bCs/>
          <w:kern w:val="28"/>
          <w:sz w:val="24"/>
          <w:lang w:val="id-ID"/>
        </w:rPr>
        <w:t>The paper attempts to put forward and prove the hypothesis that in the face of uncertainty and intensification of all types of risk, based on the application of a cognitive model, using the artificial intelligence system "Decision Tree" and the VAR model, it is possible to obtain predictive values of GDP to provide support for managerial decision-making to ensure the sustainable development of the economy.</w:t>
      </w:r>
    </w:p>
    <w:p w14:paraId="1EAEBFB4" w14:textId="77777777" w:rsidR="00C4626C" w:rsidRPr="00894F50" w:rsidRDefault="00C4626C" w:rsidP="00C4626C">
      <w:pPr>
        <w:pStyle w:val="TEXTs"/>
        <w:spacing w:after="0"/>
        <w:ind w:right="280"/>
        <w:rPr>
          <w:rFonts w:ascii="Cambria" w:hAnsi="Cambria"/>
          <w:bCs/>
          <w:kern w:val="28"/>
          <w:sz w:val="24"/>
          <w:lang w:val="id-ID"/>
        </w:rPr>
      </w:pPr>
      <w:r w:rsidRPr="00894F50">
        <w:rPr>
          <w:rFonts w:ascii="Cambria" w:hAnsi="Cambria"/>
          <w:bCs/>
          <w:kern w:val="28"/>
          <w:sz w:val="24"/>
          <w:lang w:val="id-ID"/>
        </w:rPr>
        <w:t>The practical significance of the study lies in the fact that in the course of the study the prerequisites for solving an important national economic problem were formed - forecasting the value of GDP and ensuring the sustainable development of the country's economy.</w:t>
      </w:r>
    </w:p>
    <w:p w14:paraId="2FDB4382" w14:textId="77777777" w:rsidR="00C4626C" w:rsidRPr="00894F50" w:rsidRDefault="00C4626C" w:rsidP="00C4626C">
      <w:pPr>
        <w:pStyle w:val="TEXTs"/>
        <w:spacing w:after="0"/>
        <w:ind w:right="280"/>
        <w:rPr>
          <w:rFonts w:ascii="Cambria" w:hAnsi="Cambria"/>
          <w:bCs/>
          <w:kern w:val="28"/>
          <w:sz w:val="24"/>
          <w:lang w:val="id-ID"/>
        </w:rPr>
      </w:pPr>
      <w:r w:rsidRPr="00894F50">
        <w:rPr>
          <w:rFonts w:ascii="Cambria" w:hAnsi="Cambria"/>
          <w:bCs/>
          <w:kern w:val="28"/>
          <w:sz w:val="24"/>
          <w:lang w:val="id-ID"/>
        </w:rPr>
        <w:t xml:space="preserve">The action of the above factors requires an assessment of global risks, as well as the capabilities of AI systems as elements of cognitive modeling of complex systems. </w:t>
      </w:r>
    </w:p>
    <w:p w14:paraId="09B9AF24" w14:textId="77777777" w:rsidR="00C4626C" w:rsidRPr="00894F50" w:rsidRDefault="00C4626C" w:rsidP="00C4626C">
      <w:pPr>
        <w:pStyle w:val="TEXTs"/>
        <w:spacing w:after="0"/>
        <w:ind w:right="280"/>
        <w:rPr>
          <w:rFonts w:ascii="Cambria" w:hAnsi="Cambria"/>
          <w:bCs/>
          <w:kern w:val="28"/>
          <w:sz w:val="24"/>
          <w:lang w:val="id-ID"/>
        </w:rPr>
      </w:pPr>
      <w:r w:rsidRPr="00894F50">
        <w:rPr>
          <w:rFonts w:ascii="Cambria" w:hAnsi="Cambria"/>
          <w:bCs/>
          <w:kern w:val="28"/>
          <w:sz w:val="24"/>
          <w:lang w:val="id-ID"/>
        </w:rPr>
        <w:t>As you know, the economic development of countries largely depends on exports. The export of goods and services gives impetus to the growth of national production, income and employment of the population, contributes to the growth of the economy and GDP. The coronavirus pandemic resulted in an 8% decline in trade in goods and a 21% year-on-year decline in trade in commercial services in 2020. Thus, global exports of manufactured goods decreased by 5.2% in 2020, while total exports of goods decreased by 7.7% overall.</w:t>
      </w:r>
    </w:p>
    <w:p w14:paraId="3380B48C" w14:textId="77777777" w:rsidR="00C4626C" w:rsidRPr="00894F50" w:rsidRDefault="00C4626C" w:rsidP="00C4626C">
      <w:pPr>
        <w:pStyle w:val="TEXTs"/>
        <w:spacing w:after="0"/>
        <w:ind w:right="280"/>
        <w:rPr>
          <w:rFonts w:ascii="Cambria" w:hAnsi="Cambria"/>
          <w:bCs/>
          <w:kern w:val="28"/>
          <w:sz w:val="24"/>
          <w:lang w:val="id-ID"/>
        </w:rPr>
      </w:pPr>
      <w:r w:rsidRPr="00894F50">
        <w:rPr>
          <w:rFonts w:ascii="Cambria" w:hAnsi="Cambria"/>
          <w:bCs/>
          <w:kern w:val="28"/>
          <w:sz w:val="24"/>
          <w:lang w:val="id-ID"/>
        </w:rPr>
        <w:t>Russia's trade turnover for 2021 amounted to $784.4 billion (of which exports - $491.2 billion, imports - $293.1 billion), an increase of +38.1% compared to the same period last year.  Exports from Russia in 2021 amounted to $491.2 billion, an increase of +46% compared to the same period last year.</w:t>
      </w:r>
    </w:p>
    <w:p w14:paraId="6B9B28BD" w14:textId="78937AD9" w:rsidR="00C4626C" w:rsidRDefault="00C4626C" w:rsidP="00C4626C">
      <w:pPr>
        <w:pStyle w:val="TEXTs"/>
        <w:spacing w:after="0" w:line="240" w:lineRule="auto"/>
        <w:ind w:firstLine="0"/>
        <w:rPr>
          <w:rFonts w:ascii="Cambria" w:hAnsi="Cambria"/>
          <w:bCs/>
          <w:kern w:val="28"/>
          <w:sz w:val="24"/>
          <w:lang w:val="id-ID"/>
        </w:rPr>
      </w:pPr>
      <w:r w:rsidRPr="00894F50">
        <w:rPr>
          <w:rFonts w:ascii="Cambria" w:hAnsi="Cambria"/>
          <w:bCs/>
          <w:kern w:val="28"/>
          <w:sz w:val="24"/>
          <w:lang w:val="id-ID"/>
        </w:rPr>
        <w:t xml:space="preserve">The dynamics of Russia's exports are presented below (Figure 1).  </w:t>
      </w:r>
    </w:p>
    <w:p w14:paraId="4CDCC474" w14:textId="024E5375" w:rsidR="00C4626C" w:rsidRDefault="00C4626C" w:rsidP="00C4626C">
      <w:pPr>
        <w:pStyle w:val="TEXTs"/>
        <w:spacing w:after="0" w:line="240" w:lineRule="auto"/>
        <w:ind w:firstLine="0"/>
        <w:jc w:val="center"/>
        <w:rPr>
          <w:rFonts w:ascii="Cambria" w:hAnsi="Cambria"/>
          <w:bCs/>
          <w:kern w:val="28"/>
          <w:sz w:val="24"/>
          <w:lang w:val="id-ID"/>
        </w:rPr>
      </w:pPr>
      <w:r w:rsidRPr="007A45FF">
        <w:rPr>
          <w:rFonts w:ascii="Cambria" w:hAnsi="Cambria"/>
          <w:noProof/>
          <w:sz w:val="24"/>
          <w:lang w:val="ru-RU" w:eastAsia="ru-RU"/>
        </w:rPr>
        <w:drawing>
          <wp:inline distT="0" distB="0" distL="0" distR="0" wp14:anchorId="11E452E0" wp14:editId="63DAF2B5">
            <wp:extent cx="5437927" cy="2828925"/>
            <wp:effectExtent l="0" t="0" r="0" b="0"/>
            <wp:docPr id="3" name="Рисунок 3" descr="D:\Cloud\2022ЭЭЭ_Scopus(10)_РИНЦ(free)(DTI-2022)_состоится 28 октября 2022 г. в Институте экономики УрО РАН_ЕкатеринбургХХХХХХ СПб_IJTex_Q2_ _ _\от рецензента_\Pic 1 Dynamic russian 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loud\2022ЭЭЭ_Scopus(10)_РИНЦ(free)(DTI-2022)_состоится 28 октября 2022 г. в Институте экономики УрО РАН_ЕкатеринбургХХХХХХ СПб_IJTex_Q2_ _ _\от рецензента_\Pic 1 Dynamic russian expor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61494" cy="2841185"/>
                    </a:xfrm>
                    <a:prstGeom prst="rect">
                      <a:avLst/>
                    </a:prstGeom>
                    <a:noFill/>
                    <a:ln>
                      <a:noFill/>
                    </a:ln>
                  </pic:spPr>
                </pic:pic>
              </a:graphicData>
            </a:graphic>
          </wp:inline>
        </w:drawing>
      </w:r>
    </w:p>
    <w:p w14:paraId="1FC943F0" w14:textId="77777777" w:rsidR="00C4626C" w:rsidRPr="00894F50" w:rsidRDefault="00C4626C" w:rsidP="00C4626C">
      <w:pPr>
        <w:pStyle w:val="TEXTs"/>
        <w:spacing w:after="0"/>
        <w:rPr>
          <w:rFonts w:ascii="Cambria" w:hAnsi="Cambria"/>
          <w:bCs/>
          <w:kern w:val="28"/>
          <w:sz w:val="24"/>
          <w:lang w:val="id-ID"/>
        </w:rPr>
      </w:pPr>
      <w:r w:rsidRPr="001E43C6">
        <w:rPr>
          <w:rFonts w:ascii="Cambria" w:hAnsi="Cambria"/>
          <w:b/>
          <w:bCs/>
          <w:kern w:val="28"/>
          <w:sz w:val="24"/>
          <w:lang w:val="id-ID"/>
        </w:rPr>
        <w:t>Figure 1</w:t>
      </w:r>
      <w:r w:rsidRPr="00894F50">
        <w:rPr>
          <w:rFonts w:ascii="Cambria" w:hAnsi="Cambria"/>
          <w:bCs/>
          <w:kern w:val="28"/>
          <w:sz w:val="24"/>
          <w:lang w:val="id-ID"/>
        </w:rPr>
        <w:t xml:space="preserve"> Dynamics of Russian exports, billion$ </w:t>
      </w:r>
    </w:p>
    <w:p w14:paraId="675B6483" w14:textId="77777777" w:rsidR="00C4626C" w:rsidRPr="00C4626C" w:rsidRDefault="00C4626C" w:rsidP="00EF541B">
      <w:pPr>
        <w:snapToGrid w:val="0"/>
        <w:spacing w:after="60"/>
        <w:ind w:right="36" w:firstLine="446"/>
        <w:rPr>
          <w:rFonts w:ascii="Cambria" w:hAnsi="Cambria"/>
          <w:sz w:val="24"/>
          <w:lang w:val="id-ID"/>
        </w:rPr>
        <w:sectPr w:rsidR="00C4626C" w:rsidRPr="00C4626C" w:rsidSect="001635B5">
          <w:headerReference w:type="even" r:id="rId9"/>
          <w:headerReference w:type="default" r:id="rId10"/>
          <w:headerReference w:type="first" r:id="rId11"/>
          <w:footerReference w:type="first" r:id="rId12"/>
          <w:endnotePr>
            <w:numFmt w:val="chicago"/>
          </w:endnotePr>
          <w:pgSz w:w="11909" w:h="16834" w:code="9"/>
          <w:pgMar w:top="1701" w:right="1134" w:bottom="1134" w:left="1134" w:header="851" w:footer="720" w:gutter="391"/>
          <w:pgNumType w:start="46"/>
          <w:cols w:space="708"/>
          <w:titlePg/>
          <w:docGrid w:linePitch="360"/>
        </w:sectPr>
      </w:pPr>
    </w:p>
    <w:p w14:paraId="7913EF1B" w14:textId="72B9D5A8" w:rsidR="00894F50" w:rsidRDefault="00894F50" w:rsidP="00EF541B">
      <w:pPr>
        <w:pStyle w:val="TEXTs"/>
        <w:spacing w:after="0" w:line="240" w:lineRule="auto"/>
        <w:ind w:right="280" w:firstLine="0"/>
        <w:rPr>
          <w:rFonts w:ascii="Cambria" w:hAnsi="Cambria"/>
          <w:bCs/>
          <w:kern w:val="28"/>
          <w:sz w:val="24"/>
          <w:lang w:val="id-ID"/>
        </w:rPr>
      </w:pPr>
      <w:r w:rsidRPr="00894F50">
        <w:rPr>
          <w:rFonts w:ascii="Cambria" w:hAnsi="Cambria"/>
          <w:bCs/>
          <w:kern w:val="28"/>
          <w:sz w:val="24"/>
          <w:lang w:val="id-ID"/>
        </w:rPr>
        <w:lastRenderedPageBreak/>
        <w:t xml:space="preserve">Studies have shown that the stability of the Russian economy is largely affected by partner countries. The economies of different countries have shown different economic stability. Russia’s merchandise exports remained below their level of two years ago (-8 percent) while those of China were up sharply (+31 percent).  </w:t>
      </w:r>
    </w:p>
    <w:p w14:paraId="044452A4"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The standard deviation calculated from the results of fluctuations in quarterly parameters of the gross domestic product of countries for 2020 reflects the amount of financial risk, which can be used in assessing the stability of the country.</w:t>
      </w:r>
    </w:p>
    <w:p w14:paraId="4C231626"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Studies show that this category of "economic sustainability" is a complex and multifaceted concept. The study of the problem of sustainability of economic systems. Many works of Russian and foreign scientists are devoted to the problem of the sustainability of the Russian economy has long been reflected in the works of economists, for example: Gurvich, Prilepsky, Bobylev, M.A. Konishcheva and others. (Abdrakhmanova et al., 2019).</w:t>
      </w:r>
    </w:p>
    <w:p w14:paraId="79158EF6"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Kleiner G. proposed a normative model for the distribution of the role functions of subsystems over the stages of the crisis cycle of the economy. The problem of developing a cognitive model of the national financial market, considering the peculiarities of its construction and the possibility of using it to assess the security of its functioning, was studied by Loktionova E.A. (Loktionova, 2022).</w:t>
      </w:r>
    </w:p>
    <w:p w14:paraId="4B1A676E" w14:textId="649FD5ED" w:rsid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 xml:space="preserve">The works devoted to the study of issues of ensuring the stability of the financial market based on cognitive modeling Badvan N.L., Gasanov O.S., Kuzminov A.N. (Badvan et al., 2018). Cognitive modeling of financial market stability factors, as well as the process of constructing cognitive maps, were considered in their works by Emelianenko A.S., Kolesnik D.V. (Emelianenko et al., 2019). </w:t>
      </w:r>
    </w:p>
    <w:p w14:paraId="62DECB13" w14:textId="419AB6E9" w:rsidR="006D2376" w:rsidRPr="006D2376" w:rsidRDefault="009B4BE9" w:rsidP="00EF541B">
      <w:pPr>
        <w:pStyle w:val="TEXTs"/>
        <w:spacing w:after="0"/>
        <w:ind w:right="280"/>
        <w:rPr>
          <w:rFonts w:ascii="Cambria" w:hAnsi="Cambria"/>
          <w:bCs/>
          <w:kern w:val="28"/>
          <w:sz w:val="24"/>
        </w:rPr>
      </w:pPr>
      <w:r w:rsidRPr="009B4BE9">
        <w:rPr>
          <w:rFonts w:ascii="Cambria" w:hAnsi="Cambria"/>
          <w:bCs/>
          <w:kern w:val="28"/>
          <w:sz w:val="24"/>
          <w:highlight w:val="yellow"/>
          <w:lang w:val="id-ID"/>
        </w:rPr>
        <w:t>Mohammed Ali has established that</w:t>
      </w:r>
      <w:r w:rsidRPr="009B4BE9">
        <w:rPr>
          <w:rFonts w:ascii="Cambria" w:hAnsi="Cambria"/>
          <w:bCs/>
          <w:kern w:val="28"/>
          <w:sz w:val="24"/>
          <w:highlight w:val="yellow"/>
        </w:rPr>
        <w:t xml:space="preserve"> m</w:t>
      </w:r>
      <w:r w:rsidRPr="009B4BE9">
        <w:rPr>
          <w:rFonts w:ascii="Cambria" w:hAnsi="Cambria"/>
          <w:bCs/>
          <w:kern w:val="28"/>
          <w:sz w:val="24"/>
          <w:highlight w:val="yellow"/>
          <w:lang w:val="id-ID"/>
        </w:rPr>
        <w:t>any industrial sectors are in the middle of a digital transformation that has emerged from the advancement of information and data technology, enhancing the use of computers and automation with smart and autonomous systems powered by data and machine learning. This revolution has been broadly adopted in industry by initiating the use of digital technologies, sensor systems, intelligent machines, and smart material in its processes.</w:t>
      </w:r>
      <w:r>
        <w:rPr>
          <w:rFonts w:ascii="Cambria" w:hAnsi="Cambria"/>
          <w:bCs/>
          <w:kern w:val="28"/>
          <w:sz w:val="24"/>
        </w:rPr>
        <w:t xml:space="preserve"> </w:t>
      </w:r>
      <w:r w:rsidR="006D2376">
        <w:rPr>
          <w:rFonts w:ascii="Cambria" w:hAnsi="Cambria"/>
          <w:bCs/>
          <w:kern w:val="28"/>
          <w:sz w:val="24"/>
        </w:rPr>
        <w:t>(</w:t>
      </w:r>
      <w:r w:rsidR="006D2376" w:rsidRPr="006D2376">
        <w:rPr>
          <w:rFonts w:ascii="Cambria" w:hAnsi="Cambria"/>
          <w:bCs/>
          <w:kern w:val="28"/>
          <w:sz w:val="24"/>
        </w:rPr>
        <w:t xml:space="preserve">Mohammed </w:t>
      </w:r>
      <w:r>
        <w:rPr>
          <w:rFonts w:ascii="Cambria" w:hAnsi="Cambria"/>
          <w:bCs/>
          <w:kern w:val="28"/>
          <w:sz w:val="24"/>
          <w:highlight w:val="yellow"/>
        </w:rPr>
        <w:t>et al., 2020</w:t>
      </w:r>
      <w:r w:rsidR="006D2376" w:rsidRPr="006D2376">
        <w:rPr>
          <w:rFonts w:ascii="Cambria" w:hAnsi="Cambria"/>
          <w:bCs/>
          <w:kern w:val="28"/>
          <w:sz w:val="24"/>
        </w:rPr>
        <w:t>)</w:t>
      </w:r>
    </w:p>
    <w:p w14:paraId="4EFECEBC" w14:textId="2112D9A2" w:rsid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In modern conditions, it becomes relevant to study the issues of using artificial intelligence to ensure the sustainable development of the economy, reduce financial risks in the face of increasing market uncertainty. Authors M.A. Abdalmuttaleb, M. Al-Sartavi reviewed the latest research in application of artificial intelligence for stable financing and sustainable technologies. (Abdalmuttaleb, 2021)</w:t>
      </w:r>
    </w:p>
    <w:p w14:paraId="6F04C31D" w14:textId="637F2454" w:rsidR="00337D48" w:rsidRPr="00337D48" w:rsidRDefault="009627E0" w:rsidP="00EF541B">
      <w:pPr>
        <w:pStyle w:val="TEXTs"/>
        <w:spacing w:after="0"/>
        <w:ind w:right="280"/>
        <w:rPr>
          <w:rFonts w:ascii="Cambria" w:hAnsi="Cambria"/>
          <w:bCs/>
          <w:kern w:val="28"/>
          <w:sz w:val="24"/>
        </w:rPr>
      </w:pPr>
      <w:r>
        <w:rPr>
          <w:rFonts w:ascii="Cambria" w:hAnsi="Cambria"/>
          <w:bCs/>
          <w:kern w:val="28"/>
          <w:sz w:val="24"/>
          <w:highlight w:val="yellow"/>
        </w:rPr>
        <w:t>Burova’</w:t>
      </w:r>
      <w:r w:rsidR="00337D48" w:rsidRPr="00337D48">
        <w:rPr>
          <w:rFonts w:ascii="Cambria" w:hAnsi="Cambria"/>
          <w:bCs/>
          <w:kern w:val="28"/>
          <w:sz w:val="24"/>
          <w:highlight w:val="yellow"/>
        </w:rPr>
        <w:t>s paper suggests a mechanism for managing the costs of IP of an industrial enterprise, which: (1) considers the high level of volatility of the external environment common to the digital economy and the effects exerted by risks on cost management; (2) can be used for controlling the level of target costs and introducing corrections made to the costs in due time according to the changing external and internal conditions so that the target profitability can be ensured; and (3) is based on using up-to-date and high-precision tools and methods for assessing risks and their effects on the costs and prof</w:t>
      </w:r>
      <w:r w:rsidR="00D47643">
        <w:rPr>
          <w:rFonts w:ascii="Cambria" w:hAnsi="Cambria"/>
          <w:bCs/>
          <w:kern w:val="28"/>
          <w:sz w:val="24"/>
          <w:highlight w:val="yellow"/>
        </w:rPr>
        <w:t xml:space="preserve">itability of the IP. (Burova </w:t>
      </w:r>
      <w:r w:rsidR="00337D48" w:rsidRPr="00337D48">
        <w:rPr>
          <w:rFonts w:ascii="Cambria" w:hAnsi="Cambria"/>
          <w:bCs/>
          <w:kern w:val="28"/>
          <w:sz w:val="24"/>
          <w:highlight w:val="yellow"/>
        </w:rPr>
        <w:t xml:space="preserve"> </w:t>
      </w:r>
      <w:r w:rsidR="00D47643">
        <w:rPr>
          <w:rFonts w:ascii="Cambria" w:hAnsi="Cambria"/>
          <w:bCs/>
          <w:kern w:val="28"/>
          <w:sz w:val="24"/>
          <w:highlight w:val="yellow"/>
        </w:rPr>
        <w:t>et</w:t>
      </w:r>
      <w:r w:rsidR="00D47643" w:rsidRPr="00337D48">
        <w:rPr>
          <w:rFonts w:ascii="Cambria" w:hAnsi="Cambria"/>
          <w:bCs/>
          <w:kern w:val="28"/>
          <w:sz w:val="24"/>
          <w:highlight w:val="yellow"/>
        </w:rPr>
        <w:t xml:space="preserve"> </w:t>
      </w:r>
      <w:r w:rsidR="00D47643">
        <w:rPr>
          <w:rFonts w:ascii="Cambria" w:hAnsi="Cambria"/>
          <w:bCs/>
          <w:kern w:val="28"/>
          <w:sz w:val="24"/>
          <w:highlight w:val="yellow"/>
        </w:rPr>
        <w:t>al</w:t>
      </w:r>
      <w:r w:rsidR="00D47643" w:rsidRPr="00337D48">
        <w:rPr>
          <w:rFonts w:ascii="Cambria" w:hAnsi="Cambria"/>
          <w:bCs/>
          <w:kern w:val="28"/>
          <w:sz w:val="24"/>
          <w:highlight w:val="yellow"/>
        </w:rPr>
        <w:t>.</w:t>
      </w:r>
      <w:r w:rsidRPr="009627E0">
        <w:rPr>
          <w:rFonts w:ascii="Cambria" w:hAnsi="Cambria"/>
          <w:bCs/>
          <w:kern w:val="28"/>
          <w:sz w:val="24"/>
          <w:highlight w:val="yellow"/>
        </w:rPr>
        <w:t xml:space="preserve">, </w:t>
      </w:r>
      <w:r w:rsidRPr="00337D48">
        <w:rPr>
          <w:rFonts w:ascii="Cambria" w:hAnsi="Cambria" w:cstheme="majorBidi"/>
          <w:sz w:val="24"/>
          <w:highlight w:val="yellow"/>
        </w:rPr>
        <w:t>2021</w:t>
      </w:r>
      <w:r w:rsidR="00337D48" w:rsidRPr="00337D48">
        <w:rPr>
          <w:rFonts w:ascii="Cambria" w:hAnsi="Cambria"/>
          <w:bCs/>
          <w:kern w:val="28"/>
          <w:sz w:val="24"/>
          <w:highlight w:val="yellow"/>
        </w:rPr>
        <w:t>)</w:t>
      </w:r>
      <w:r>
        <w:rPr>
          <w:rFonts w:ascii="Cambria" w:hAnsi="Cambria"/>
          <w:bCs/>
          <w:kern w:val="28"/>
          <w:sz w:val="24"/>
        </w:rPr>
        <w:t xml:space="preserve"> </w:t>
      </w:r>
    </w:p>
    <w:p w14:paraId="204DF218" w14:textId="3297A074" w:rsid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The materials are presented at the International Conference "Global Economic Revolutions: The Era of the Digital Economy". The authors Lomakin N., Lukyanov G., Vodopyanova N., Gontar A., Goncharova E. and Voblenko E. developed a neural network model that makes it possible to forecast the profit of enterprises in the real sector of the economy that are at risk. The analysis showed that the risk of financial income of enterprises (sigma) in chronological sequence increased unsustainably from the level of 0.4 from the second quarter of 2015 to a maximum of 3.1 with subsequent consolidation to 2.8 billion rubles, while its average value was 2 .09 billion rubles (Lomakin et al., 2019).</w:t>
      </w:r>
    </w:p>
    <w:p w14:paraId="7DF34619" w14:textId="0BDC20C0" w:rsidR="00337D48" w:rsidRPr="009627E0" w:rsidRDefault="00D47643" w:rsidP="009627E0">
      <w:pPr>
        <w:pStyle w:val="TEXTs"/>
        <w:spacing w:after="0"/>
        <w:ind w:right="280"/>
        <w:rPr>
          <w:rFonts w:ascii="Cambria" w:hAnsi="Cambria"/>
          <w:bCs/>
          <w:kern w:val="28"/>
          <w:sz w:val="24"/>
        </w:rPr>
      </w:pPr>
      <w:r w:rsidRPr="009627E0">
        <w:rPr>
          <w:rFonts w:ascii="Cambria" w:hAnsi="Cambria"/>
          <w:bCs/>
          <w:kern w:val="28"/>
          <w:sz w:val="24"/>
          <w:highlight w:val="yellow"/>
          <w:lang w:val="id-ID"/>
        </w:rPr>
        <w:t>The study</w:t>
      </w:r>
      <w:r w:rsidRPr="009627E0">
        <w:rPr>
          <w:rFonts w:ascii="Cambria" w:hAnsi="Cambria"/>
          <w:bCs/>
          <w:kern w:val="28"/>
          <w:sz w:val="24"/>
          <w:highlight w:val="yellow"/>
        </w:rPr>
        <w:t xml:space="preserve"> of </w:t>
      </w:r>
      <w:r w:rsidR="009627E0" w:rsidRPr="009627E0">
        <w:rPr>
          <w:rFonts w:ascii="Cambria" w:hAnsi="Cambria"/>
          <w:bCs/>
          <w:kern w:val="28"/>
          <w:sz w:val="24"/>
          <w:highlight w:val="yellow"/>
          <w:lang w:val="id-ID"/>
        </w:rPr>
        <w:t>Nadezhina</w:t>
      </w:r>
      <w:r w:rsidR="009627E0" w:rsidRPr="009627E0">
        <w:rPr>
          <w:rFonts w:ascii="Cambria" w:hAnsi="Cambria"/>
          <w:bCs/>
          <w:kern w:val="28"/>
          <w:sz w:val="24"/>
          <w:highlight w:val="yellow"/>
        </w:rPr>
        <w:t xml:space="preserve"> O.</w:t>
      </w:r>
      <w:r w:rsidRPr="009627E0">
        <w:rPr>
          <w:rFonts w:ascii="Cambria" w:hAnsi="Cambria"/>
          <w:bCs/>
          <w:kern w:val="28"/>
          <w:sz w:val="24"/>
          <w:highlight w:val="yellow"/>
          <w:lang w:val="id-ID"/>
        </w:rPr>
        <w:t xml:space="preserve"> aims to evaluate the risks of integration processes in the EU. Two indicators were used to quantify the degree of convergence: </w:t>
      </w:r>
      <w:r w:rsidR="009627E0" w:rsidRPr="009627E0">
        <w:rPr>
          <w:rFonts w:ascii="Cambria" w:hAnsi="Cambria"/>
          <w:bCs/>
          <w:kern w:val="28"/>
          <w:sz w:val="24"/>
          <w:highlight w:val="yellow"/>
        </w:rPr>
        <w:t xml:space="preserve">1) </w:t>
      </w:r>
      <w:r w:rsidRPr="009627E0">
        <w:rPr>
          <w:rFonts w:ascii="Cambria" w:hAnsi="Cambria"/>
          <w:bCs/>
          <w:kern w:val="28"/>
          <w:sz w:val="24"/>
          <w:highlight w:val="yellow"/>
          <w:lang w:val="id-ID"/>
        </w:rPr>
        <w:t xml:space="preserve">convergence and </w:t>
      </w:r>
      <w:r w:rsidR="009627E0" w:rsidRPr="009627E0">
        <w:rPr>
          <w:rFonts w:ascii="Cambria" w:hAnsi="Cambria"/>
          <w:bCs/>
          <w:kern w:val="28"/>
          <w:sz w:val="24"/>
          <w:highlight w:val="yellow"/>
        </w:rPr>
        <w:t xml:space="preserve">2) </w:t>
      </w:r>
      <w:r w:rsidRPr="009627E0">
        <w:rPr>
          <w:rFonts w:ascii="Cambria" w:hAnsi="Cambria"/>
          <w:bCs/>
          <w:kern w:val="28"/>
          <w:sz w:val="24"/>
          <w:highlight w:val="yellow"/>
          <w:lang w:val="id-ID"/>
        </w:rPr>
        <w:t>convergence.</w:t>
      </w:r>
      <w:r w:rsidR="009627E0" w:rsidRPr="009627E0">
        <w:rPr>
          <w:rFonts w:ascii="Cambria" w:hAnsi="Cambria"/>
          <w:bCs/>
          <w:kern w:val="28"/>
          <w:sz w:val="24"/>
          <w:highlight w:val="yellow"/>
        </w:rPr>
        <w:t xml:space="preserve"> This is very important in today's environment.</w:t>
      </w:r>
      <w:r w:rsidR="00337D48" w:rsidRPr="009627E0">
        <w:rPr>
          <w:rFonts w:ascii="Cambria" w:hAnsi="Cambria"/>
          <w:bCs/>
          <w:kern w:val="28"/>
          <w:sz w:val="24"/>
          <w:highlight w:val="yellow"/>
        </w:rPr>
        <w:t xml:space="preserve"> (</w:t>
      </w:r>
      <w:r w:rsidR="00337D48" w:rsidRPr="00337D48">
        <w:rPr>
          <w:rFonts w:ascii="Cambria" w:hAnsi="Cambria"/>
          <w:bCs/>
          <w:kern w:val="28"/>
          <w:sz w:val="24"/>
          <w:highlight w:val="yellow"/>
          <w:lang w:val="id-ID"/>
        </w:rPr>
        <w:t>Nadezhina</w:t>
      </w:r>
      <w:r>
        <w:rPr>
          <w:rFonts w:ascii="Cambria" w:hAnsi="Cambria"/>
          <w:bCs/>
          <w:kern w:val="28"/>
          <w:sz w:val="24"/>
        </w:rPr>
        <w:t xml:space="preserve"> </w:t>
      </w:r>
      <w:r>
        <w:rPr>
          <w:rFonts w:ascii="Cambria" w:hAnsi="Cambria"/>
          <w:bCs/>
          <w:kern w:val="28"/>
          <w:sz w:val="24"/>
          <w:highlight w:val="yellow"/>
        </w:rPr>
        <w:t>et</w:t>
      </w:r>
      <w:r w:rsidR="00EC011C" w:rsidRPr="00337D48">
        <w:rPr>
          <w:rFonts w:ascii="Cambria" w:hAnsi="Cambria"/>
          <w:bCs/>
          <w:kern w:val="28"/>
          <w:sz w:val="24"/>
          <w:highlight w:val="yellow"/>
        </w:rPr>
        <w:t xml:space="preserve"> </w:t>
      </w:r>
      <w:r>
        <w:rPr>
          <w:rFonts w:ascii="Cambria" w:hAnsi="Cambria"/>
          <w:bCs/>
          <w:kern w:val="28"/>
          <w:sz w:val="24"/>
          <w:highlight w:val="yellow"/>
        </w:rPr>
        <w:t>al</w:t>
      </w:r>
      <w:r w:rsidR="00EC011C" w:rsidRPr="00337D48">
        <w:rPr>
          <w:rFonts w:ascii="Cambria" w:hAnsi="Cambria"/>
          <w:bCs/>
          <w:kern w:val="28"/>
          <w:sz w:val="24"/>
          <w:highlight w:val="yellow"/>
        </w:rPr>
        <w:t>.</w:t>
      </w:r>
      <w:r w:rsidRPr="00D47643">
        <w:rPr>
          <w:rFonts w:ascii="Cambria" w:hAnsi="Cambria"/>
          <w:bCs/>
          <w:kern w:val="28"/>
          <w:sz w:val="24"/>
          <w:highlight w:val="yellow"/>
        </w:rPr>
        <w:t xml:space="preserve">, </w:t>
      </w:r>
      <w:r w:rsidRPr="00EC011C">
        <w:rPr>
          <w:rFonts w:ascii="Cambria" w:hAnsi="Cambria"/>
          <w:bCs/>
          <w:kern w:val="28"/>
          <w:sz w:val="24"/>
          <w:highlight w:val="yellow"/>
          <w:lang w:val="id-ID"/>
        </w:rPr>
        <w:t>2021</w:t>
      </w:r>
      <w:r w:rsidR="00EC011C" w:rsidRPr="00337D48">
        <w:rPr>
          <w:rFonts w:ascii="Cambria" w:hAnsi="Cambria"/>
          <w:bCs/>
          <w:kern w:val="28"/>
          <w:sz w:val="24"/>
          <w:highlight w:val="yellow"/>
        </w:rPr>
        <w:t>)</w:t>
      </w:r>
    </w:p>
    <w:p w14:paraId="694D367E"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lastRenderedPageBreak/>
        <w:t>Certain aspects of the use of neural networks in the financial sector intersect with issues of economic analysis in the financial management system. The authors Morozova T.V., Polyanskaya T., Zasenko V.E., Zarubin V.I. and Verchenko Y.K. note that in the conditions of the development of the modern economy, for the effective operation of an enterprise in the face of ever-increasing competition, it is necessary to respond in a timely manner to various kinds of changes in all factors affecting the enterprise.  (Morozova et al., 2017).</w:t>
      </w:r>
    </w:p>
    <w:p w14:paraId="52306D51"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An important factor in the financial stability of the economy is the reliable operation of the banking sector, and preventing the growth of overdue debt is one of the most pressing issues for ensuring reliability. To prevent the growth of overdue loans in the credit sector, it is important to assess the creditworthiness and financial stability of the enterprise. Rybyantseva M., Ivanova E., Demin S., Dzhamay E. and Bakharev V. considered separate approaches for assessing the financial stability of an enterprise.  (Rybyantseva et al., 2017).</w:t>
      </w:r>
    </w:p>
    <w:p w14:paraId="26DEABB2"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In the deep risk model proposed by Hengxu Lin, Dong Zhou, Weiqing Liu and Jiang Bian, a deep learning solution is proposed to analyze latent risk factors while improving the estimation of the covariance matrix. Experiments were carried out on stock market data and demonstrated the effectiveness of the proposed solution. The method allows you to get 1.9 % higher than the identified variance, as well as reduce the risk of the global minimum variance portfolio (Hengxu et al.,  2021).</w:t>
      </w:r>
    </w:p>
    <w:p w14:paraId="5E469251" w14:textId="67EAC177" w:rsidR="001E43C6" w:rsidRDefault="001E43C6" w:rsidP="00EF541B">
      <w:pPr>
        <w:pStyle w:val="TEXTs"/>
        <w:spacing w:after="0" w:line="240" w:lineRule="auto"/>
        <w:ind w:right="280" w:firstLine="0"/>
        <w:rPr>
          <w:rFonts w:ascii="Cambria" w:hAnsi="Cambria"/>
          <w:bCs/>
          <w:kern w:val="28"/>
          <w:sz w:val="24"/>
          <w:lang w:val="id-ID"/>
        </w:rPr>
      </w:pPr>
      <w:r w:rsidRPr="001E43C6">
        <w:rPr>
          <w:rFonts w:ascii="Cambria" w:hAnsi="Cambria"/>
          <w:bCs/>
          <w:kern w:val="28"/>
          <w:sz w:val="24"/>
          <w:lang w:val="id-ID"/>
        </w:rPr>
        <w:t>The risk is identified by estimating the standard deviation based on the biased estimate of the variance, which can be calculated using the formula:</w:t>
      </w:r>
    </w:p>
    <w:p w14:paraId="4389B012" w14:textId="77777777" w:rsidR="001E43C6" w:rsidRPr="005155BD" w:rsidRDefault="001E43C6" w:rsidP="00EF541B">
      <w:pPr>
        <w:snapToGrid w:val="0"/>
        <w:spacing w:after="0"/>
        <w:ind w:right="280" w:firstLine="446"/>
        <w:rPr>
          <w:rFonts w:ascii="Cambria" w:hAnsi="Cambria"/>
          <w:sz w:val="24"/>
        </w:rPr>
      </w:pPr>
    </w:p>
    <w:p w14:paraId="3E85B08A" w14:textId="47962F36" w:rsidR="001E43C6" w:rsidRDefault="001E43C6" w:rsidP="00EF541B">
      <w:pPr>
        <w:spacing w:after="0"/>
        <w:ind w:right="280" w:firstLine="284"/>
        <w:jc w:val="right"/>
        <w:rPr>
          <w:rFonts w:eastAsiaTheme="minorEastAsia"/>
          <w:sz w:val="24"/>
        </w:rPr>
      </w:pPr>
      <m:oMath>
        <m:r>
          <w:rPr>
            <w:rFonts w:ascii="Cambria Math" w:hAnsi="Cambria Math"/>
            <w:sz w:val="24"/>
          </w:rPr>
          <m:t>S=</m:t>
        </m:r>
        <m:rad>
          <m:radPr>
            <m:degHide m:val="1"/>
            <m:ctrlPr>
              <w:rPr>
                <w:rFonts w:ascii="Cambria Math" w:hAnsi="Cambria Math"/>
                <w:i/>
                <w:sz w:val="24"/>
              </w:rPr>
            </m:ctrlPr>
          </m:radPr>
          <m:deg/>
          <m:e>
            <m:f>
              <m:fPr>
                <m:ctrlPr>
                  <w:rPr>
                    <w:rFonts w:ascii="Cambria Math" w:hAnsi="Cambria Math"/>
                    <w:i/>
                    <w:sz w:val="24"/>
                  </w:rPr>
                </m:ctrlPr>
              </m:fPr>
              <m:num>
                <m:r>
                  <w:rPr>
                    <w:rFonts w:ascii="Cambria Math" w:hAnsi="Cambria Math"/>
                    <w:sz w:val="24"/>
                  </w:rPr>
                  <m:t>1</m:t>
                </m:r>
              </m:num>
              <m:den>
                <m:r>
                  <w:rPr>
                    <w:rFonts w:ascii="Cambria Math" w:hAnsi="Cambria Math"/>
                    <w:sz w:val="24"/>
                  </w:rPr>
                  <m:t>n</m:t>
                </m:r>
              </m:den>
            </m:f>
            <m:nary>
              <m:naryPr>
                <m:chr m:val="∑"/>
                <m:limLoc m:val="subSup"/>
                <m:ctrlPr>
                  <w:rPr>
                    <w:rFonts w:ascii="Cambria Math" w:hAnsi="Cambria Math"/>
                    <w:i/>
                    <w:sz w:val="24"/>
                  </w:rPr>
                </m:ctrlPr>
              </m:naryPr>
              <m:sub>
                <m:r>
                  <w:rPr>
                    <w:rFonts w:ascii="Cambria Math" w:hAnsi="Cambria Math"/>
                    <w:sz w:val="24"/>
                  </w:rPr>
                  <m:t>i=1</m:t>
                </m:r>
              </m:sub>
              <m:sup>
                <m:r>
                  <w:rPr>
                    <w:rFonts w:ascii="Cambria Math" w:hAnsi="Cambria Math"/>
                    <w:sz w:val="24"/>
                  </w:rPr>
                  <m:t>n</m:t>
                </m:r>
              </m:sup>
              <m:e>
                <m:sSup>
                  <m:sSupPr>
                    <m:ctrlPr>
                      <w:rPr>
                        <w:rFonts w:ascii="Cambria Math" w:hAnsi="Cambria Math"/>
                        <w:i/>
                        <w:sz w:val="24"/>
                      </w:rPr>
                    </m:ctrlPr>
                  </m:sSupPr>
                  <m:e>
                    <m:r>
                      <w:rPr>
                        <w:rFonts w:ascii="Cambria Math" w:hAnsi="Cambria Math"/>
                        <w:sz w:val="24"/>
                      </w:rPr>
                      <m:t>(</m:t>
                    </m:r>
                    <m:sSub>
                      <m:sSubPr>
                        <m:ctrlPr>
                          <w:rPr>
                            <w:rFonts w:ascii="Cambria Math" w:hAnsi="Cambria Math"/>
                            <w:i/>
                            <w:sz w:val="24"/>
                          </w:rPr>
                        </m:ctrlPr>
                      </m:sSubPr>
                      <m:e>
                        <m:r>
                          <w:rPr>
                            <w:rFonts w:ascii="Cambria Math" w:hAnsi="Cambria Math"/>
                            <w:sz w:val="24"/>
                          </w:rPr>
                          <m:t>x</m:t>
                        </m:r>
                      </m:e>
                      <m:sub>
                        <m:r>
                          <w:rPr>
                            <w:rFonts w:ascii="Cambria Math" w:hAnsi="Cambria Math"/>
                            <w:sz w:val="24"/>
                          </w:rPr>
                          <m:t>i</m:t>
                        </m:r>
                      </m:sub>
                    </m:sSub>
                    <m:r>
                      <w:rPr>
                        <w:rFonts w:ascii="Cambria Math" w:hAnsi="Cambria Math"/>
                        <w:sz w:val="24"/>
                      </w:rPr>
                      <m:t>-</m:t>
                    </m:r>
                    <m:acc>
                      <m:accPr>
                        <m:chr m:val="̅"/>
                        <m:ctrlPr>
                          <w:rPr>
                            <w:rFonts w:ascii="Cambria Math" w:hAnsi="Cambria Math"/>
                            <w:i/>
                            <w:sz w:val="24"/>
                          </w:rPr>
                        </m:ctrlPr>
                      </m:accPr>
                      <m:e>
                        <m:r>
                          <w:rPr>
                            <w:rFonts w:ascii="Cambria Math" w:hAnsi="Cambria Math"/>
                            <w:sz w:val="24"/>
                          </w:rPr>
                          <m:t>x</m:t>
                        </m:r>
                      </m:e>
                    </m:acc>
                    <m:r>
                      <w:rPr>
                        <w:rFonts w:ascii="Cambria Math" w:hAnsi="Cambria Math"/>
                        <w:sz w:val="24"/>
                      </w:rPr>
                      <m:t>)</m:t>
                    </m:r>
                  </m:e>
                  <m:sup>
                    <m:r>
                      <w:rPr>
                        <w:rFonts w:ascii="Cambria Math" w:hAnsi="Cambria Math"/>
                        <w:sz w:val="24"/>
                      </w:rPr>
                      <m:t>2</m:t>
                    </m:r>
                  </m:sup>
                </m:sSup>
              </m:e>
            </m:nary>
          </m:e>
        </m:rad>
      </m:oMath>
      <w:r w:rsidRPr="007E6090">
        <w:rPr>
          <w:rFonts w:eastAsiaTheme="minorEastAsia"/>
          <w:sz w:val="24"/>
        </w:rPr>
        <w:t>,                                                       (</w:t>
      </w:r>
      <w:r w:rsidRPr="007E6090">
        <w:rPr>
          <w:rFonts w:ascii="Cambria" w:hAnsi="Cambria"/>
          <w:sz w:val="24"/>
        </w:rPr>
        <w:t>1</w:t>
      </w:r>
      <w:r w:rsidRPr="007E6090">
        <w:rPr>
          <w:rFonts w:eastAsiaTheme="minorEastAsia"/>
          <w:sz w:val="24"/>
        </w:rPr>
        <w:t>)</w:t>
      </w:r>
    </w:p>
    <w:p w14:paraId="679E067A" w14:textId="77777777" w:rsidR="001E43C6" w:rsidRPr="007E6090" w:rsidRDefault="001E43C6" w:rsidP="00EF541B">
      <w:pPr>
        <w:spacing w:after="0"/>
        <w:ind w:right="280" w:firstLine="284"/>
        <w:jc w:val="right"/>
        <w:rPr>
          <w:rFonts w:eastAsiaTheme="minorEastAsia"/>
          <w:sz w:val="24"/>
        </w:rPr>
      </w:pPr>
    </w:p>
    <w:p w14:paraId="1CC00221" w14:textId="77777777" w:rsidR="001E43C6" w:rsidRPr="001E43C6" w:rsidRDefault="001E43C6" w:rsidP="00EF541B">
      <w:pPr>
        <w:pStyle w:val="TEXTs"/>
        <w:spacing w:after="0"/>
        <w:ind w:right="280"/>
        <w:rPr>
          <w:rFonts w:ascii="Cambria" w:hAnsi="Cambria"/>
          <w:bCs/>
          <w:kern w:val="28"/>
          <w:sz w:val="24"/>
          <w:lang w:val="id-ID"/>
        </w:rPr>
      </w:pPr>
      <w:r w:rsidRPr="001E43C6">
        <w:rPr>
          <w:rFonts w:ascii="Cambria" w:hAnsi="Cambria"/>
          <w:bCs/>
          <w:kern w:val="28"/>
          <w:sz w:val="24"/>
          <w:lang w:val="id-ID"/>
        </w:rPr>
        <w:t>Of practical interest are the studies of Ni Zhan, Yijia Sun, Aman Jakhar and He Liu in the development of graphical models for financial time series and portfolio selection. The authors explored various graphical models for building optimal portfolios. Graphical models such as PCA-KMeans, auto-encoders, dynamic clustering, and structural learning can capture time-varying patterns in a covariance matrix and allow you to create an optimal and robust portfolio. When comparing derived portfolios from different models with the underlying methods, charting strategies produced steadily increasing returns at low risk and outperformed the S&amp;P 500 index. This work suggests that charting models can effectively learn time dependences in time series data (Zhan et al., 2021).</w:t>
      </w:r>
    </w:p>
    <w:p w14:paraId="340CD3B7" w14:textId="770B56DB" w:rsidR="001E43C6" w:rsidRDefault="001E43C6" w:rsidP="00EF541B">
      <w:pPr>
        <w:pStyle w:val="TEXTs"/>
        <w:spacing w:after="0" w:line="240" w:lineRule="auto"/>
        <w:ind w:right="280" w:firstLine="0"/>
        <w:rPr>
          <w:rFonts w:ascii="Cambria" w:hAnsi="Cambria"/>
          <w:bCs/>
          <w:kern w:val="28"/>
          <w:sz w:val="24"/>
          <w:lang w:val="id-ID"/>
        </w:rPr>
      </w:pPr>
      <w:r w:rsidRPr="001E43C6">
        <w:rPr>
          <w:rFonts w:ascii="Cambria" w:hAnsi="Cambria"/>
          <w:bCs/>
          <w:kern w:val="28"/>
          <w:sz w:val="24"/>
          <w:lang w:val="id-ID"/>
        </w:rPr>
        <w:t>Financial risk assessment using the VaR model provides high performance to support managerial decision-making in the financial sector. A team of scientists consisting of Kei Nakagawa, Shuhei Noma and Masaya Abe proposed an approach based on the use of the RM-CVaR model. It is known, that dispersion is the most fundamental measure of risk that investors seek to minimize, but it has several drawbacks. Notional Value at Risk (CVaR) is a relatively new risk measure that overcomes some shortcomings of well-known variance risk measures and has gained popularity due to its computational efficiency. (Nakagawa et al., 2020).</w:t>
      </w:r>
    </w:p>
    <w:p w14:paraId="1A1CFE28" w14:textId="77777777" w:rsidR="001E43C6" w:rsidRPr="001D5BB3" w:rsidRDefault="001E43C6" w:rsidP="00EF541B">
      <w:pPr>
        <w:pStyle w:val="TEXTs"/>
        <w:spacing w:after="0" w:line="240" w:lineRule="auto"/>
        <w:ind w:right="280" w:firstLine="0"/>
        <w:rPr>
          <w:rFonts w:ascii="Cambria" w:hAnsi="Cambria"/>
          <w:bCs/>
          <w:caps/>
          <w:kern w:val="28"/>
          <w:sz w:val="24"/>
          <w:lang w:val="id-ID"/>
        </w:rPr>
      </w:pPr>
    </w:p>
    <w:p w14:paraId="7293DEA4" w14:textId="77777777" w:rsidR="008100CB" w:rsidRPr="002F0C1B" w:rsidRDefault="00242108" w:rsidP="008C110B">
      <w:pPr>
        <w:pStyle w:val="TEXTs"/>
        <w:tabs>
          <w:tab w:val="left" w:pos="450"/>
        </w:tabs>
        <w:spacing w:after="0" w:line="240" w:lineRule="auto"/>
        <w:ind w:firstLine="0"/>
        <w:rPr>
          <w:rFonts w:ascii="Cambria" w:hAnsi="Cambria"/>
          <w:b/>
          <w:bCs/>
          <w:caps/>
          <w:kern w:val="1"/>
          <w:sz w:val="24"/>
        </w:rPr>
      </w:pPr>
      <w:r w:rsidRPr="002F0C1B">
        <w:rPr>
          <w:rFonts w:ascii="Cambria" w:hAnsi="Cambria"/>
          <w:b/>
          <w:bCs/>
          <w:kern w:val="28"/>
          <w:sz w:val="24"/>
        </w:rPr>
        <w:t>2.</w:t>
      </w:r>
      <w:r w:rsidRPr="002F0C1B">
        <w:rPr>
          <w:rFonts w:ascii="Cambria" w:hAnsi="Cambria"/>
          <w:b/>
          <w:bCs/>
          <w:kern w:val="28"/>
          <w:sz w:val="24"/>
          <w:lang w:val="id-ID"/>
        </w:rPr>
        <w:tab/>
      </w:r>
      <w:r w:rsidRPr="002F0C1B">
        <w:rPr>
          <w:rFonts w:ascii="Cambria" w:hAnsi="Cambria"/>
          <w:b/>
          <w:bCs/>
          <w:kern w:val="1"/>
          <w:sz w:val="24"/>
        </w:rPr>
        <w:t>Methods</w:t>
      </w:r>
    </w:p>
    <w:p w14:paraId="3DE09BD2" w14:textId="0E502A6A" w:rsidR="001E43C6" w:rsidRPr="001E43C6" w:rsidRDefault="004A7259" w:rsidP="00EF541B">
      <w:pPr>
        <w:tabs>
          <w:tab w:val="left" w:pos="450"/>
        </w:tabs>
        <w:spacing w:before="120" w:after="0"/>
        <w:ind w:right="280"/>
        <w:rPr>
          <w:rFonts w:ascii="Cambria" w:hAnsi="Cambria"/>
          <w:sz w:val="24"/>
          <w:lang w:val="en-US"/>
        </w:rPr>
      </w:pPr>
      <w:r>
        <w:rPr>
          <w:rFonts w:ascii="Cambria" w:hAnsi="Cambria"/>
          <w:sz w:val="24"/>
          <w:lang w:val="en-US"/>
        </w:rPr>
        <w:tab/>
      </w:r>
      <w:r w:rsidR="001E43C6" w:rsidRPr="001E43C6">
        <w:rPr>
          <w:rFonts w:ascii="Cambria" w:hAnsi="Cambria"/>
          <w:sz w:val="24"/>
          <w:lang w:val="en-US"/>
        </w:rPr>
        <w:t xml:space="preserve">In the presented work, such research methods were used as: monographic, analytical, statistical, as well as a cognitive model, which includes the artificial intelligence system "Decision Tree" and the VaR model. The neural network model includes indicators that reflect the dynamics of the development of the domestic economy. </w:t>
      </w:r>
      <w:r w:rsidR="00011C6E" w:rsidRPr="00011C6E">
        <w:rPr>
          <w:rFonts w:ascii="Cambria" w:hAnsi="Cambria"/>
          <w:sz w:val="24"/>
          <w:highlight w:val="yellow"/>
          <w:lang w:val="en-US"/>
        </w:rPr>
        <w:t xml:space="preserve">The studies reflected in this article relied on the research methodology followed by the authors. The methodology of this study involves the use of the main research method - a cognitive model. Modeling financial and economic stability based on a cognitive model allows us to develop a new </w:t>
      </w:r>
      <w:r w:rsidR="00011C6E" w:rsidRPr="00011C6E">
        <w:rPr>
          <w:rFonts w:ascii="Cambria" w:hAnsi="Cambria"/>
          <w:sz w:val="24"/>
          <w:highlight w:val="yellow"/>
          <w:lang w:val="en-US"/>
        </w:rPr>
        <w:lastRenderedPageBreak/>
        <w:t>model for the task of supporting managerial decision-making in terms of the financial and economic stability of the Russian financial system, the most important prognostic parameter of which is the value of GDP. The cognitive model acts as a kind of trigger, which in turn launches methods as independent model programs: Decision Tree, VAR-model, which allow you to get the forecast value of GDP and compare the results.</w:t>
      </w:r>
      <w:r w:rsidR="00011C6E" w:rsidRPr="00011C6E">
        <w:rPr>
          <w:rFonts w:ascii="Cambria" w:hAnsi="Cambria"/>
          <w:sz w:val="24"/>
          <w:lang w:val="en-US"/>
        </w:rPr>
        <w:t xml:space="preserve"> </w:t>
      </w:r>
      <w:r w:rsidR="001E43C6" w:rsidRPr="001E43C6">
        <w:rPr>
          <w:rFonts w:ascii="Cambria" w:hAnsi="Cambria"/>
          <w:sz w:val="24"/>
          <w:lang w:val="en-US"/>
        </w:rPr>
        <w:t>The Decision Tree model dataset is shown below (Table 1).</w:t>
      </w:r>
    </w:p>
    <w:p w14:paraId="334FA07C" w14:textId="49A2E02D" w:rsidR="001E43C6" w:rsidRDefault="001E43C6" w:rsidP="001E43C6">
      <w:pPr>
        <w:tabs>
          <w:tab w:val="left" w:pos="450"/>
        </w:tabs>
        <w:spacing w:before="120" w:after="0"/>
        <w:rPr>
          <w:rFonts w:ascii="Cambria" w:hAnsi="Cambria"/>
          <w:sz w:val="24"/>
          <w:lang w:val="en-US"/>
        </w:rPr>
      </w:pPr>
      <w:r w:rsidRPr="001E43C6">
        <w:rPr>
          <w:rFonts w:ascii="Cambria" w:hAnsi="Cambria"/>
          <w:b/>
          <w:sz w:val="24"/>
          <w:lang w:val="en-US"/>
        </w:rPr>
        <w:t>Table 1</w:t>
      </w:r>
      <w:r w:rsidRPr="001E43C6">
        <w:rPr>
          <w:rFonts w:ascii="Cambria" w:hAnsi="Cambria"/>
          <w:sz w:val="24"/>
          <w:lang w:val="en-US"/>
        </w:rPr>
        <w:t xml:space="preserve"> The dataset of the AI-model Decision Tree (fragment)</w:t>
      </w:r>
    </w:p>
    <w:p w14:paraId="087EF904" w14:textId="77777777" w:rsidR="001E43C6" w:rsidRDefault="001E43C6" w:rsidP="001E43C6">
      <w:pPr>
        <w:tabs>
          <w:tab w:val="left" w:pos="450"/>
        </w:tabs>
        <w:spacing w:before="120" w:after="0"/>
        <w:rPr>
          <w:rFonts w:ascii="Cambria" w:hAnsi="Cambria"/>
          <w:sz w:val="24"/>
          <w:lang w:val="en-US"/>
        </w:rPr>
      </w:pPr>
    </w:p>
    <w:tbl>
      <w:tblPr>
        <w:tblW w:w="6096" w:type="dxa"/>
        <w:jc w:val="center"/>
        <w:tblBorders>
          <w:top w:val="single" w:sz="4" w:space="0" w:color="auto"/>
        </w:tblBorders>
        <w:tblLayout w:type="fixed"/>
        <w:tblLook w:val="04A0" w:firstRow="1" w:lastRow="0" w:firstColumn="1" w:lastColumn="0" w:noHBand="0" w:noVBand="1"/>
      </w:tblPr>
      <w:tblGrid>
        <w:gridCol w:w="709"/>
        <w:gridCol w:w="709"/>
        <w:gridCol w:w="1134"/>
        <w:gridCol w:w="992"/>
        <w:gridCol w:w="993"/>
        <w:gridCol w:w="708"/>
        <w:gridCol w:w="851"/>
      </w:tblGrid>
      <w:tr w:rsidR="001E43C6" w:rsidRPr="00882B9C" w14:paraId="76B26688" w14:textId="77777777" w:rsidTr="00EC011C">
        <w:trPr>
          <w:trHeight w:val="277"/>
          <w:jc w:val="center"/>
        </w:trPr>
        <w:tc>
          <w:tcPr>
            <w:tcW w:w="709" w:type="dxa"/>
            <w:tcBorders>
              <w:top w:val="single" w:sz="12" w:space="0" w:color="auto"/>
              <w:bottom w:val="single" w:sz="12" w:space="0" w:color="auto"/>
            </w:tcBorders>
            <w:shd w:val="clear" w:color="auto" w:fill="auto"/>
            <w:vAlign w:val="center"/>
          </w:tcPr>
          <w:p w14:paraId="60292E32" w14:textId="77777777" w:rsidR="001E43C6" w:rsidRPr="00773031" w:rsidRDefault="001E43C6" w:rsidP="00EC011C">
            <w:pPr>
              <w:pStyle w:val="ae"/>
              <w:spacing w:before="60" w:after="60"/>
              <w:jc w:val="center"/>
              <w:rPr>
                <w:i w:val="0"/>
                <w:szCs w:val="22"/>
              </w:rPr>
            </w:pPr>
            <w:r>
              <w:rPr>
                <w:i w:val="0"/>
                <w:szCs w:val="22"/>
              </w:rPr>
              <w:t>Year</w:t>
            </w:r>
            <w:r w:rsidRPr="00773031">
              <w:rPr>
                <w:i w:val="0"/>
                <w:szCs w:val="22"/>
              </w:rPr>
              <w:t xml:space="preserve"> </w:t>
            </w:r>
          </w:p>
        </w:tc>
        <w:tc>
          <w:tcPr>
            <w:tcW w:w="709" w:type="dxa"/>
            <w:tcBorders>
              <w:top w:val="single" w:sz="12" w:space="0" w:color="auto"/>
              <w:bottom w:val="single" w:sz="12" w:space="0" w:color="auto"/>
            </w:tcBorders>
            <w:shd w:val="clear" w:color="auto" w:fill="auto"/>
            <w:vAlign w:val="center"/>
          </w:tcPr>
          <w:p w14:paraId="26DE2562" w14:textId="77777777" w:rsidR="001E43C6" w:rsidRPr="00773031" w:rsidRDefault="001E43C6" w:rsidP="00EC011C">
            <w:pPr>
              <w:pStyle w:val="ae"/>
              <w:spacing w:before="60" w:after="60"/>
              <w:jc w:val="center"/>
              <w:rPr>
                <w:i w:val="0"/>
                <w:szCs w:val="22"/>
              </w:rPr>
            </w:pPr>
            <w:r>
              <w:rPr>
                <w:i w:val="0"/>
                <w:szCs w:val="22"/>
              </w:rPr>
              <w:t>Key rate</w:t>
            </w:r>
            <w:r w:rsidRPr="00773031">
              <w:rPr>
                <w:i w:val="0"/>
                <w:szCs w:val="22"/>
              </w:rPr>
              <w:t xml:space="preserve"> </w:t>
            </w:r>
          </w:p>
        </w:tc>
        <w:tc>
          <w:tcPr>
            <w:tcW w:w="1134" w:type="dxa"/>
            <w:tcBorders>
              <w:top w:val="single" w:sz="12" w:space="0" w:color="auto"/>
              <w:bottom w:val="single" w:sz="12" w:space="0" w:color="auto"/>
            </w:tcBorders>
            <w:shd w:val="clear" w:color="auto" w:fill="auto"/>
            <w:vAlign w:val="center"/>
          </w:tcPr>
          <w:p w14:paraId="334CE5B0" w14:textId="77777777" w:rsidR="001E43C6" w:rsidRPr="00773031" w:rsidRDefault="001E43C6" w:rsidP="00EC011C">
            <w:pPr>
              <w:pStyle w:val="ae"/>
              <w:spacing w:before="60" w:after="60"/>
              <w:jc w:val="center"/>
              <w:rPr>
                <w:i w:val="0"/>
                <w:szCs w:val="22"/>
              </w:rPr>
            </w:pPr>
            <w:r w:rsidRPr="000F6D25">
              <w:rPr>
                <w:i w:val="0"/>
                <w:szCs w:val="22"/>
              </w:rPr>
              <w:t>Growth of bank assets, %</w:t>
            </w:r>
            <w:r w:rsidRPr="00773031">
              <w:rPr>
                <w:i w:val="0"/>
                <w:szCs w:val="22"/>
              </w:rPr>
              <w:t xml:space="preserve"> </w:t>
            </w:r>
          </w:p>
        </w:tc>
        <w:tc>
          <w:tcPr>
            <w:tcW w:w="992" w:type="dxa"/>
            <w:tcBorders>
              <w:top w:val="single" w:sz="12" w:space="0" w:color="auto"/>
              <w:bottom w:val="single" w:sz="12" w:space="0" w:color="auto"/>
            </w:tcBorders>
          </w:tcPr>
          <w:p w14:paraId="2814568C" w14:textId="77777777" w:rsidR="001E43C6" w:rsidRPr="000F6D25" w:rsidRDefault="001E43C6" w:rsidP="00EC011C">
            <w:pPr>
              <w:pStyle w:val="ae"/>
              <w:spacing w:before="60" w:after="60"/>
              <w:jc w:val="center"/>
              <w:rPr>
                <w:i w:val="0"/>
                <w:szCs w:val="22"/>
              </w:rPr>
            </w:pPr>
            <w:r w:rsidRPr="000F6D25">
              <w:rPr>
                <w:i w:val="0"/>
                <w:szCs w:val="22"/>
              </w:rPr>
              <w:t>Share of overdue loans, %</w:t>
            </w:r>
          </w:p>
        </w:tc>
        <w:tc>
          <w:tcPr>
            <w:tcW w:w="993" w:type="dxa"/>
            <w:tcBorders>
              <w:top w:val="single" w:sz="12" w:space="0" w:color="auto"/>
              <w:bottom w:val="single" w:sz="12" w:space="0" w:color="auto"/>
            </w:tcBorders>
          </w:tcPr>
          <w:p w14:paraId="2F4908E2" w14:textId="77777777" w:rsidR="001E43C6" w:rsidRPr="000F6D25" w:rsidRDefault="001E43C6" w:rsidP="00EC011C">
            <w:pPr>
              <w:pStyle w:val="ae"/>
              <w:spacing w:before="60" w:after="60"/>
              <w:jc w:val="center"/>
              <w:rPr>
                <w:i w:val="0"/>
                <w:szCs w:val="22"/>
              </w:rPr>
            </w:pPr>
            <w:r w:rsidRPr="000F6D25">
              <w:rPr>
                <w:i w:val="0"/>
                <w:szCs w:val="22"/>
              </w:rPr>
              <w:t>GDP, billion rubles</w:t>
            </w:r>
          </w:p>
        </w:tc>
        <w:tc>
          <w:tcPr>
            <w:tcW w:w="708" w:type="dxa"/>
            <w:tcBorders>
              <w:top w:val="single" w:sz="12" w:space="0" w:color="auto"/>
              <w:bottom w:val="single" w:sz="12" w:space="0" w:color="auto"/>
            </w:tcBorders>
          </w:tcPr>
          <w:p w14:paraId="1FE69FA5" w14:textId="77777777" w:rsidR="001E43C6" w:rsidRPr="000F6D25" w:rsidRDefault="001E43C6" w:rsidP="00EC011C">
            <w:pPr>
              <w:pStyle w:val="ae"/>
              <w:spacing w:before="60" w:after="60"/>
              <w:jc w:val="center"/>
              <w:rPr>
                <w:i w:val="0"/>
                <w:szCs w:val="22"/>
              </w:rPr>
            </w:pPr>
            <w:r w:rsidRPr="000F6D25">
              <w:rPr>
                <w:i w:val="0"/>
                <w:szCs w:val="22"/>
              </w:rPr>
              <w:t>RTS Index</w:t>
            </w:r>
          </w:p>
        </w:tc>
        <w:tc>
          <w:tcPr>
            <w:tcW w:w="851" w:type="dxa"/>
            <w:tcBorders>
              <w:top w:val="single" w:sz="12" w:space="0" w:color="auto"/>
              <w:bottom w:val="single" w:sz="12" w:space="0" w:color="auto"/>
            </w:tcBorders>
          </w:tcPr>
          <w:p w14:paraId="6D8732BD" w14:textId="77777777" w:rsidR="001E43C6" w:rsidRPr="000F6D25" w:rsidRDefault="001E43C6" w:rsidP="00EC011C">
            <w:pPr>
              <w:pStyle w:val="ae"/>
              <w:spacing w:before="60" w:after="60"/>
              <w:jc w:val="center"/>
              <w:rPr>
                <w:i w:val="0"/>
                <w:szCs w:val="22"/>
              </w:rPr>
            </w:pPr>
            <w:r>
              <w:rPr>
                <w:i w:val="0"/>
                <w:szCs w:val="22"/>
              </w:rPr>
              <w:t>D</w:t>
            </w:r>
            <w:r w:rsidRPr="000F6D25">
              <w:rPr>
                <w:i w:val="0"/>
                <w:szCs w:val="22"/>
              </w:rPr>
              <w:t>ollar exchange rate</w:t>
            </w:r>
          </w:p>
        </w:tc>
      </w:tr>
      <w:tr w:rsidR="001E43C6" w:rsidRPr="00882B9C" w14:paraId="46C800F1" w14:textId="77777777" w:rsidTr="00EC011C">
        <w:trPr>
          <w:trHeight w:val="112"/>
          <w:jc w:val="center"/>
        </w:trPr>
        <w:tc>
          <w:tcPr>
            <w:tcW w:w="709" w:type="dxa"/>
            <w:tcBorders>
              <w:top w:val="single" w:sz="12" w:space="0" w:color="auto"/>
            </w:tcBorders>
            <w:shd w:val="clear" w:color="auto" w:fill="auto"/>
            <w:vAlign w:val="center"/>
          </w:tcPr>
          <w:p w14:paraId="35146292" w14:textId="77777777" w:rsidR="001E43C6" w:rsidRPr="00773031" w:rsidRDefault="001E43C6" w:rsidP="00EC011C">
            <w:pPr>
              <w:pStyle w:val="ae"/>
              <w:jc w:val="right"/>
              <w:rPr>
                <w:i w:val="0"/>
                <w:szCs w:val="22"/>
              </w:rPr>
            </w:pPr>
            <w:r>
              <w:rPr>
                <w:i w:val="0"/>
                <w:szCs w:val="22"/>
              </w:rPr>
              <w:t>2021</w:t>
            </w:r>
          </w:p>
        </w:tc>
        <w:tc>
          <w:tcPr>
            <w:tcW w:w="709" w:type="dxa"/>
            <w:tcBorders>
              <w:top w:val="single" w:sz="12" w:space="0" w:color="auto"/>
            </w:tcBorders>
            <w:shd w:val="clear" w:color="auto" w:fill="auto"/>
            <w:vAlign w:val="center"/>
          </w:tcPr>
          <w:p w14:paraId="6A165BEB" w14:textId="77777777" w:rsidR="001E43C6" w:rsidRPr="00773031" w:rsidRDefault="001E43C6" w:rsidP="00EC011C">
            <w:pPr>
              <w:pStyle w:val="ae"/>
              <w:jc w:val="right"/>
              <w:rPr>
                <w:i w:val="0"/>
                <w:szCs w:val="22"/>
              </w:rPr>
            </w:pPr>
            <w:r>
              <w:rPr>
                <w:i w:val="0"/>
                <w:szCs w:val="22"/>
              </w:rPr>
              <w:t>8.5</w:t>
            </w:r>
          </w:p>
        </w:tc>
        <w:tc>
          <w:tcPr>
            <w:tcW w:w="1134" w:type="dxa"/>
            <w:tcBorders>
              <w:top w:val="single" w:sz="12" w:space="0" w:color="auto"/>
            </w:tcBorders>
            <w:shd w:val="clear" w:color="auto" w:fill="auto"/>
            <w:vAlign w:val="center"/>
          </w:tcPr>
          <w:p w14:paraId="76D14140" w14:textId="77777777" w:rsidR="001E43C6" w:rsidRPr="00773031" w:rsidRDefault="001E43C6" w:rsidP="00EC011C">
            <w:pPr>
              <w:pStyle w:val="ae"/>
              <w:jc w:val="right"/>
              <w:rPr>
                <w:i w:val="0"/>
                <w:szCs w:val="22"/>
              </w:rPr>
            </w:pPr>
            <w:r>
              <w:rPr>
                <w:i w:val="0"/>
                <w:szCs w:val="22"/>
              </w:rPr>
              <w:t>16</w:t>
            </w:r>
          </w:p>
        </w:tc>
        <w:tc>
          <w:tcPr>
            <w:tcW w:w="992" w:type="dxa"/>
            <w:tcBorders>
              <w:top w:val="single" w:sz="12" w:space="0" w:color="auto"/>
            </w:tcBorders>
          </w:tcPr>
          <w:p w14:paraId="54C13041" w14:textId="77777777" w:rsidR="001E43C6" w:rsidRPr="00773031" w:rsidRDefault="001E43C6" w:rsidP="00EC011C">
            <w:pPr>
              <w:pStyle w:val="ae"/>
              <w:jc w:val="right"/>
              <w:rPr>
                <w:i w:val="0"/>
                <w:szCs w:val="22"/>
              </w:rPr>
            </w:pPr>
            <w:r>
              <w:rPr>
                <w:i w:val="0"/>
                <w:szCs w:val="22"/>
              </w:rPr>
              <w:t>23.5</w:t>
            </w:r>
          </w:p>
        </w:tc>
        <w:tc>
          <w:tcPr>
            <w:tcW w:w="993" w:type="dxa"/>
            <w:tcBorders>
              <w:top w:val="single" w:sz="12" w:space="0" w:color="auto"/>
            </w:tcBorders>
          </w:tcPr>
          <w:p w14:paraId="12651F22" w14:textId="77777777" w:rsidR="001E43C6" w:rsidRPr="00773031" w:rsidRDefault="001E43C6" w:rsidP="00EC011C">
            <w:pPr>
              <w:pStyle w:val="ae"/>
              <w:jc w:val="right"/>
              <w:rPr>
                <w:i w:val="0"/>
                <w:szCs w:val="22"/>
              </w:rPr>
            </w:pPr>
            <w:r>
              <w:rPr>
                <w:i w:val="0"/>
                <w:szCs w:val="22"/>
              </w:rPr>
              <w:t>131015</w:t>
            </w:r>
          </w:p>
        </w:tc>
        <w:tc>
          <w:tcPr>
            <w:tcW w:w="708" w:type="dxa"/>
            <w:tcBorders>
              <w:top w:val="single" w:sz="12" w:space="0" w:color="auto"/>
            </w:tcBorders>
          </w:tcPr>
          <w:p w14:paraId="4C6815F2" w14:textId="77777777" w:rsidR="001E43C6" w:rsidRPr="00773031" w:rsidRDefault="001E43C6" w:rsidP="00EC011C">
            <w:pPr>
              <w:pStyle w:val="ae"/>
              <w:jc w:val="right"/>
              <w:rPr>
                <w:i w:val="0"/>
                <w:szCs w:val="22"/>
              </w:rPr>
            </w:pPr>
            <w:r>
              <w:rPr>
                <w:i w:val="0"/>
                <w:szCs w:val="22"/>
              </w:rPr>
              <w:t>1608</w:t>
            </w:r>
          </w:p>
        </w:tc>
        <w:tc>
          <w:tcPr>
            <w:tcW w:w="851" w:type="dxa"/>
            <w:tcBorders>
              <w:top w:val="single" w:sz="12" w:space="0" w:color="auto"/>
            </w:tcBorders>
          </w:tcPr>
          <w:p w14:paraId="501EC067" w14:textId="77777777" w:rsidR="001E43C6" w:rsidRPr="00773031" w:rsidRDefault="001E43C6" w:rsidP="00EC011C">
            <w:pPr>
              <w:pStyle w:val="ae"/>
              <w:jc w:val="right"/>
              <w:rPr>
                <w:i w:val="0"/>
                <w:szCs w:val="22"/>
              </w:rPr>
            </w:pPr>
            <w:r>
              <w:rPr>
                <w:i w:val="0"/>
                <w:szCs w:val="22"/>
              </w:rPr>
              <w:t>73.7</w:t>
            </w:r>
          </w:p>
        </w:tc>
      </w:tr>
      <w:tr w:rsidR="001E43C6" w:rsidRPr="00882B9C" w14:paraId="2EC49D4F" w14:textId="77777777" w:rsidTr="00EC011C">
        <w:trPr>
          <w:trHeight w:val="112"/>
          <w:jc w:val="center"/>
        </w:trPr>
        <w:tc>
          <w:tcPr>
            <w:tcW w:w="709" w:type="dxa"/>
            <w:shd w:val="clear" w:color="auto" w:fill="auto"/>
            <w:vAlign w:val="center"/>
          </w:tcPr>
          <w:p w14:paraId="01D8E902" w14:textId="77777777" w:rsidR="001E43C6" w:rsidRPr="00773031" w:rsidRDefault="001E43C6" w:rsidP="00EC011C">
            <w:pPr>
              <w:pStyle w:val="ae"/>
              <w:jc w:val="right"/>
              <w:rPr>
                <w:i w:val="0"/>
                <w:szCs w:val="22"/>
              </w:rPr>
            </w:pPr>
            <w:r>
              <w:rPr>
                <w:i w:val="0"/>
                <w:szCs w:val="22"/>
              </w:rPr>
              <w:t>2020</w:t>
            </w:r>
          </w:p>
        </w:tc>
        <w:tc>
          <w:tcPr>
            <w:tcW w:w="709" w:type="dxa"/>
            <w:shd w:val="clear" w:color="auto" w:fill="auto"/>
            <w:vAlign w:val="center"/>
          </w:tcPr>
          <w:p w14:paraId="796FA1D4" w14:textId="77777777" w:rsidR="001E43C6" w:rsidRPr="00773031" w:rsidRDefault="001E43C6" w:rsidP="00EC011C">
            <w:pPr>
              <w:pStyle w:val="ae"/>
              <w:jc w:val="right"/>
              <w:rPr>
                <w:i w:val="0"/>
                <w:szCs w:val="22"/>
              </w:rPr>
            </w:pPr>
            <w:r>
              <w:rPr>
                <w:i w:val="0"/>
                <w:szCs w:val="22"/>
              </w:rPr>
              <w:t>4.25</w:t>
            </w:r>
          </w:p>
        </w:tc>
        <w:tc>
          <w:tcPr>
            <w:tcW w:w="1134" w:type="dxa"/>
            <w:shd w:val="clear" w:color="auto" w:fill="auto"/>
            <w:vAlign w:val="center"/>
          </w:tcPr>
          <w:p w14:paraId="4AA03362" w14:textId="77777777" w:rsidR="001E43C6" w:rsidRPr="00773031" w:rsidRDefault="001E43C6" w:rsidP="00EC011C">
            <w:pPr>
              <w:pStyle w:val="ae"/>
              <w:jc w:val="right"/>
              <w:rPr>
                <w:i w:val="0"/>
                <w:szCs w:val="22"/>
              </w:rPr>
            </w:pPr>
            <w:r>
              <w:rPr>
                <w:i w:val="0"/>
                <w:szCs w:val="22"/>
              </w:rPr>
              <w:t>16.8</w:t>
            </w:r>
          </w:p>
        </w:tc>
        <w:tc>
          <w:tcPr>
            <w:tcW w:w="992" w:type="dxa"/>
          </w:tcPr>
          <w:p w14:paraId="7EE0209F" w14:textId="77777777" w:rsidR="001E43C6" w:rsidRPr="00773031" w:rsidRDefault="001E43C6" w:rsidP="00EC011C">
            <w:pPr>
              <w:pStyle w:val="ae"/>
              <w:jc w:val="right"/>
              <w:rPr>
                <w:i w:val="0"/>
                <w:szCs w:val="22"/>
              </w:rPr>
            </w:pPr>
            <w:r>
              <w:rPr>
                <w:i w:val="0"/>
                <w:szCs w:val="22"/>
              </w:rPr>
              <w:t>17.8</w:t>
            </w:r>
          </w:p>
        </w:tc>
        <w:tc>
          <w:tcPr>
            <w:tcW w:w="993" w:type="dxa"/>
          </w:tcPr>
          <w:p w14:paraId="775074C9" w14:textId="77777777" w:rsidR="001E43C6" w:rsidRPr="00773031" w:rsidRDefault="001E43C6" w:rsidP="00EC011C">
            <w:pPr>
              <w:pStyle w:val="ae"/>
              <w:jc w:val="right"/>
              <w:rPr>
                <w:i w:val="0"/>
                <w:szCs w:val="22"/>
              </w:rPr>
            </w:pPr>
            <w:r>
              <w:rPr>
                <w:i w:val="0"/>
                <w:szCs w:val="22"/>
              </w:rPr>
              <w:t>1073015</w:t>
            </w:r>
          </w:p>
        </w:tc>
        <w:tc>
          <w:tcPr>
            <w:tcW w:w="708" w:type="dxa"/>
          </w:tcPr>
          <w:p w14:paraId="649D3B21" w14:textId="77777777" w:rsidR="001E43C6" w:rsidRPr="00773031" w:rsidRDefault="001E43C6" w:rsidP="00EC011C">
            <w:pPr>
              <w:pStyle w:val="ae"/>
              <w:jc w:val="right"/>
              <w:rPr>
                <w:i w:val="0"/>
                <w:szCs w:val="22"/>
              </w:rPr>
            </w:pPr>
            <w:r>
              <w:rPr>
                <w:i w:val="0"/>
                <w:szCs w:val="22"/>
              </w:rPr>
              <w:t>1376</w:t>
            </w:r>
          </w:p>
        </w:tc>
        <w:tc>
          <w:tcPr>
            <w:tcW w:w="851" w:type="dxa"/>
          </w:tcPr>
          <w:p w14:paraId="7EF2416B" w14:textId="77777777" w:rsidR="001E43C6" w:rsidRPr="00773031" w:rsidRDefault="001E43C6" w:rsidP="00EC011C">
            <w:pPr>
              <w:pStyle w:val="ae"/>
              <w:jc w:val="right"/>
              <w:rPr>
                <w:i w:val="0"/>
                <w:szCs w:val="22"/>
              </w:rPr>
            </w:pPr>
            <w:r>
              <w:rPr>
                <w:i w:val="0"/>
                <w:szCs w:val="22"/>
              </w:rPr>
              <w:t>73.8</w:t>
            </w:r>
          </w:p>
        </w:tc>
      </w:tr>
      <w:tr w:rsidR="001E43C6" w:rsidRPr="00882B9C" w14:paraId="76F0D17F" w14:textId="77777777" w:rsidTr="00EC011C">
        <w:trPr>
          <w:trHeight w:val="112"/>
          <w:jc w:val="center"/>
        </w:trPr>
        <w:tc>
          <w:tcPr>
            <w:tcW w:w="709" w:type="dxa"/>
            <w:shd w:val="clear" w:color="auto" w:fill="auto"/>
            <w:vAlign w:val="center"/>
          </w:tcPr>
          <w:p w14:paraId="47D3A7DB" w14:textId="77777777" w:rsidR="001E43C6" w:rsidRPr="00773031" w:rsidRDefault="001E43C6" w:rsidP="00EC011C">
            <w:pPr>
              <w:pStyle w:val="ae"/>
              <w:jc w:val="right"/>
              <w:rPr>
                <w:i w:val="0"/>
                <w:szCs w:val="22"/>
              </w:rPr>
            </w:pPr>
            <w:r>
              <w:rPr>
                <w:i w:val="0"/>
                <w:szCs w:val="22"/>
              </w:rPr>
              <w:t>2019</w:t>
            </w:r>
          </w:p>
        </w:tc>
        <w:tc>
          <w:tcPr>
            <w:tcW w:w="709" w:type="dxa"/>
            <w:shd w:val="clear" w:color="auto" w:fill="auto"/>
            <w:vAlign w:val="center"/>
          </w:tcPr>
          <w:p w14:paraId="1DDB5354" w14:textId="77777777" w:rsidR="001E43C6" w:rsidRPr="00773031" w:rsidRDefault="001E43C6" w:rsidP="00EC011C">
            <w:pPr>
              <w:pStyle w:val="ae"/>
              <w:jc w:val="right"/>
              <w:rPr>
                <w:i w:val="0"/>
                <w:szCs w:val="22"/>
              </w:rPr>
            </w:pPr>
            <w:r>
              <w:rPr>
                <w:i w:val="0"/>
                <w:szCs w:val="22"/>
              </w:rPr>
              <w:t>7.25</w:t>
            </w:r>
          </w:p>
        </w:tc>
        <w:tc>
          <w:tcPr>
            <w:tcW w:w="1134" w:type="dxa"/>
            <w:shd w:val="clear" w:color="auto" w:fill="auto"/>
            <w:vAlign w:val="center"/>
          </w:tcPr>
          <w:p w14:paraId="02187E08" w14:textId="77777777" w:rsidR="001E43C6" w:rsidRPr="00773031" w:rsidRDefault="001E43C6" w:rsidP="00EC011C">
            <w:pPr>
              <w:pStyle w:val="ae"/>
              <w:jc w:val="right"/>
              <w:rPr>
                <w:i w:val="0"/>
                <w:szCs w:val="22"/>
              </w:rPr>
            </w:pPr>
            <w:r>
              <w:rPr>
                <w:i w:val="0"/>
                <w:szCs w:val="22"/>
              </w:rPr>
              <w:t>10.4</w:t>
            </w:r>
          </w:p>
        </w:tc>
        <w:tc>
          <w:tcPr>
            <w:tcW w:w="992" w:type="dxa"/>
          </w:tcPr>
          <w:p w14:paraId="00A7BB72" w14:textId="77777777" w:rsidR="001E43C6" w:rsidRPr="00773031" w:rsidRDefault="001E43C6" w:rsidP="00EC011C">
            <w:pPr>
              <w:pStyle w:val="ae"/>
              <w:jc w:val="right"/>
              <w:rPr>
                <w:i w:val="0"/>
                <w:szCs w:val="22"/>
              </w:rPr>
            </w:pPr>
            <w:r>
              <w:rPr>
                <w:i w:val="0"/>
                <w:szCs w:val="22"/>
              </w:rPr>
              <w:t>5.9</w:t>
            </w:r>
          </w:p>
        </w:tc>
        <w:tc>
          <w:tcPr>
            <w:tcW w:w="993" w:type="dxa"/>
          </w:tcPr>
          <w:p w14:paraId="3DCEC348" w14:textId="77777777" w:rsidR="001E43C6" w:rsidRPr="00773031" w:rsidRDefault="001E43C6" w:rsidP="00EC011C">
            <w:pPr>
              <w:pStyle w:val="ae"/>
              <w:jc w:val="right"/>
              <w:rPr>
                <w:i w:val="0"/>
                <w:szCs w:val="22"/>
              </w:rPr>
            </w:pPr>
            <w:r>
              <w:rPr>
                <w:i w:val="0"/>
                <w:szCs w:val="22"/>
              </w:rPr>
              <w:t>109241</w:t>
            </w:r>
          </w:p>
        </w:tc>
        <w:tc>
          <w:tcPr>
            <w:tcW w:w="708" w:type="dxa"/>
          </w:tcPr>
          <w:p w14:paraId="40267AD7" w14:textId="77777777" w:rsidR="001E43C6" w:rsidRPr="00773031" w:rsidRDefault="001E43C6" w:rsidP="00EC011C">
            <w:pPr>
              <w:pStyle w:val="ae"/>
              <w:jc w:val="right"/>
              <w:rPr>
                <w:i w:val="0"/>
                <w:szCs w:val="22"/>
              </w:rPr>
            </w:pPr>
            <w:r>
              <w:rPr>
                <w:i w:val="0"/>
                <w:szCs w:val="22"/>
              </w:rPr>
              <w:t>1549</w:t>
            </w:r>
          </w:p>
        </w:tc>
        <w:tc>
          <w:tcPr>
            <w:tcW w:w="851" w:type="dxa"/>
          </w:tcPr>
          <w:p w14:paraId="1F436119" w14:textId="77777777" w:rsidR="001E43C6" w:rsidRPr="00773031" w:rsidRDefault="001E43C6" w:rsidP="00EC011C">
            <w:pPr>
              <w:pStyle w:val="ae"/>
              <w:jc w:val="right"/>
              <w:rPr>
                <w:i w:val="0"/>
                <w:szCs w:val="22"/>
              </w:rPr>
            </w:pPr>
            <w:r>
              <w:rPr>
                <w:i w:val="0"/>
                <w:szCs w:val="22"/>
              </w:rPr>
              <w:t>61.9</w:t>
            </w:r>
          </w:p>
        </w:tc>
      </w:tr>
      <w:tr w:rsidR="001E43C6" w:rsidRPr="00882B9C" w14:paraId="44048822" w14:textId="77777777" w:rsidTr="00EC011C">
        <w:trPr>
          <w:trHeight w:val="123"/>
          <w:jc w:val="center"/>
        </w:trPr>
        <w:tc>
          <w:tcPr>
            <w:tcW w:w="709" w:type="dxa"/>
            <w:tcBorders>
              <w:bottom w:val="nil"/>
            </w:tcBorders>
            <w:shd w:val="clear" w:color="auto" w:fill="auto"/>
            <w:vAlign w:val="center"/>
          </w:tcPr>
          <w:p w14:paraId="0FA1F80A" w14:textId="77777777" w:rsidR="001E43C6" w:rsidRPr="00773031" w:rsidRDefault="001E43C6" w:rsidP="00EC011C">
            <w:pPr>
              <w:pStyle w:val="ae"/>
              <w:jc w:val="right"/>
              <w:rPr>
                <w:i w:val="0"/>
                <w:szCs w:val="22"/>
              </w:rPr>
            </w:pPr>
            <w:r>
              <w:rPr>
                <w:i w:val="0"/>
                <w:szCs w:val="22"/>
              </w:rPr>
              <w:t>2018</w:t>
            </w:r>
          </w:p>
        </w:tc>
        <w:tc>
          <w:tcPr>
            <w:tcW w:w="709" w:type="dxa"/>
            <w:tcBorders>
              <w:bottom w:val="nil"/>
            </w:tcBorders>
            <w:shd w:val="clear" w:color="auto" w:fill="auto"/>
            <w:vAlign w:val="center"/>
          </w:tcPr>
          <w:p w14:paraId="53B557B2" w14:textId="77777777" w:rsidR="001E43C6" w:rsidRPr="00773031" w:rsidRDefault="001E43C6" w:rsidP="00EC011C">
            <w:pPr>
              <w:pStyle w:val="ae"/>
              <w:jc w:val="right"/>
              <w:rPr>
                <w:i w:val="0"/>
                <w:szCs w:val="22"/>
              </w:rPr>
            </w:pPr>
            <w:r>
              <w:rPr>
                <w:i w:val="0"/>
                <w:szCs w:val="22"/>
              </w:rPr>
              <w:t>7.75</w:t>
            </w:r>
          </w:p>
        </w:tc>
        <w:tc>
          <w:tcPr>
            <w:tcW w:w="1134" w:type="dxa"/>
            <w:tcBorders>
              <w:bottom w:val="nil"/>
            </w:tcBorders>
            <w:shd w:val="clear" w:color="auto" w:fill="auto"/>
            <w:vAlign w:val="center"/>
          </w:tcPr>
          <w:p w14:paraId="6EF22D1D" w14:textId="77777777" w:rsidR="001E43C6" w:rsidRPr="00773031" w:rsidRDefault="001E43C6" w:rsidP="00EC011C">
            <w:pPr>
              <w:pStyle w:val="ae"/>
              <w:jc w:val="right"/>
              <w:rPr>
                <w:i w:val="0"/>
                <w:szCs w:val="22"/>
              </w:rPr>
            </w:pPr>
            <w:r>
              <w:rPr>
                <w:i w:val="0"/>
                <w:szCs w:val="22"/>
              </w:rPr>
              <w:t>6.4</w:t>
            </w:r>
          </w:p>
        </w:tc>
        <w:tc>
          <w:tcPr>
            <w:tcW w:w="992" w:type="dxa"/>
            <w:tcBorders>
              <w:bottom w:val="nil"/>
            </w:tcBorders>
          </w:tcPr>
          <w:p w14:paraId="5BB9AF7D" w14:textId="77777777" w:rsidR="001E43C6" w:rsidRPr="00773031" w:rsidRDefault="001E43C6" w:rsidP="00EC011C">
            <w:pPr>
              <w:pStyle w:val="ae"/>
              <w:jc w:val="right"/>
              <w:rPr>
                <w:i w:val="0"/>
                <w:szCs w:val="22"/>
              </w:rPr>
            </w:pPr>
            <w:r>
              <w:rPr>
                <w:i w:val="0"/>
                <w:szCs w:val="22"/>
              </w:rPr>
              <w:t>7.5</w:t>
            </w:r>
          </w:p>
        </w:tc>
        <w:tc>
          <w:tcPr>
            <w:tcW w:w="993" w:type="dxa"/>
            <w:tcBorders>
              <w:bottom w:val="nil"/>
            </w:tcBorders>
          </w:tcPr>
          <w:p w14:paraId="7D8E3549" w14:textId="77777777" w:rsidR="001E43C6" w:rsidRPr="00773031" w:rsidRDefault="001E43C6" w:rsidP="00EC011C">
            <w:pPr>
              <w:pStyle w:val="ae"/>
              <w:jc w:val="right"/>
              <w:rPr>
                <w:i w:val="0"/>
                <w:szCs w:val="22"/>
              </w:rPr>
            </w:pPr>
            <w:r>
              <w:rPr>
                <w:i w:val="0"/>
                <w:szCs w:val="22"/>
              </w:rPr>
              <w:t>103861</w:t>
            </w:r>
          </w:p>
        </w:tc>
        <w:tc>
          <w:tcPr>
            <w:tcW w:w="708" w:type="dxa"/>
            <w:tcBorders>
              <w:bottom w:val="nil"/>
            </w:tcBorders>
          </w:tcPr>
          <w:p w14:paraId="539F1A6B" w14:textId="77777777" w:rsidR="001E43C6" w:rsidRPr="00773031" w:rsidRDefault="001E43C6" w:rsidP="00EC011C">
            <w:pPr>
              <w:pStyle w:val="ae"/>
              <w:jc w:val="right"/>
              <w:rPr>
                <w:i w:val="0"/>
                <w:szCs w:val="22"/>
              </w:rPr>
            </w:pPr>
            <w:r>
              <w:rPr>
                <w:i w:val="0"/>
                <w:szCs w:val="22"/>
              </w:rPr>
              <w:t>1157</w:t>
            </w:r>
          </w:p>
        </w:tc>
        <w:tc>
          <w:tcPr>
            <w:tcW w:w="851" w:type="dxa"/>
            <w:tcBorders>
              <w:bottom w:val="nil"/>
            </w:tcBorders>
          </w:tcPr>
          <w:p w14:paraId="19C5601A" w14:textId="77777777" w:rsidR="001E43C6" w:rsidRPr="00773031" w:rsidRDefault="001E43C6" w:rsidP="00EC011C">
            <w:pPr>
              <w:pStyle w:val="ae"/>
              <w:jc w:val="right"/>
              <w:rPr>
                <w:i w:val="0"/>
                <w:szCs w:val="22"/>
              </w:rPr>
            </w:pPr>
            <w:r>
              <w:rPr>
                <w:i w:val="0"/>
                <w:szCs w:val="22"/>
              </w:rPr>
              <w:t>69.8</w:t>
            </w:r>
          </w:p>
        </w:tc>
      </w:tr>
      <w:tr w:rsidR="001E43C6" w:rsidRPr="00882B9C" w14:paraId="52AD7313" w14:textId="77777777" w:rsidTr="00EC011C">
        <w:trPr>
          <w:trHeight w:val="112"/>
          <w:jc w:val="center"/>
        </w:trPr>
        <w:tc>
          <w:tcPr>
            <w:tcW w:w="709" w:type="dxa"/>
            <w:tcBorders>
              <w:top w:val="nil"/>
              <w:bottom w:val="single" w:sz="12" w:space="0" w:color="auto"/>
            </w:tcBorders>
            <w:shd w:val="clear" w:color="auto" w:fill="auto"/>
            <w:vAlign w:val="center"/>
          </w:tcPr>
          <w:p w14:paraId="7CE74D26" w14:textId="77777777" w:rsidR="001E43C6" w:rsidRPr="00773031" w:rsidRDefault="001E43C6" w:rsidP="00EC011C">
            <w:pPr>
              <w:pStyle w:val="ae"/>
              <w:jc w:val="right"/>
              <w:rPr>
                <w:i w:val="0"/>
                <w:szCs w:val="22"/>
              </w:rPr>
            </w:pPr>
            <w:r>
              <w:rPr>
                <w:i w:val="0"/>
                <w:szCs w:val="22"/>
              </w:rPr>
              <w:t>2017</w:t>
            </w:r>
          </w:p>
        </w:tc>
        <w:tc>
          <w:tcPr>
            <w:tcW w:w="709" w:type="dxa"/>
            <w:tcBorders>
              <w:top w:val="nil"/>
              <w:bottom w:val="single" w:sz="12" w:space="0" w:color="auto"/>
            </w:tcBorders>
            <w:shd w:val="clear" w:color="auto" w:fill="auto"/>
            <w:vAlign w:val="center"/>
          </w:tcPr>
          <w:p w14:paraId="5087B1FA" w14:textId="77777777" w:rsidR="001E43C6" w:rsidRPr="00773031" w:rsidRDefault="001E43C6" w:rsidP="00EC011C">
            <w:pPr>
              <w:pStyle w:val="ae"/>
              <w:jc w:val="right"/>
              <w:rPr>
                <w:i w:val="0"/>
                <w:szCs w:val="22"/>
              </w:rPr>
            </w:pPr>
            <w:r>
              <w:rPr>
                <w:i w:val="0"/>
                <w:szCs w:val="22"/>
              </w:rPr>
              <w:t>8.25</w:t>
            </w:r>
          </w:p>
        </w:tc>
        <w:tc>
          <w:tcPr>
            <w:tcW w:w="1134" w:type="dxa"/>
            <w:tcBorders>
              <w:top w:val="nil"/>
              <w:bottom w:val="single" w:sz="12" w:space="0" w:color="auto"/>
            </w:tcBorders>
            <w:shd w:val="clear" w:color="auto" w:fill="auto"/>
            <w:vAlign w:val="center"/>
          </w:tcPr>
          <w:p w14:paraId="00C39160" w14:textId="77777777" w:rsidR="001E43C6" w:rsidRPr="00773031" w:rsidRDefault="001E43C6" w:rsidP="00EC011C">
            <w:pPr>
              <w:pStyle w:val="ae"/>
              <w:jc w:val="right"/>
              <w:rPr>
                <w:i w:val="0"/>
                <w:szCs w:val="22"/>
              </w:rPr>
            </w:pPr>
            <w:r>
              <w:rPr>
                <w:i w:val="0"/>
                <w:szCs w:val="22"/>
              </w:rPr>
              <w:t>-3.5</w:t>
            </w:r>
          </w:p>
        </w:tc>
        <w:tc>
          <w:tcPr>
            <w:tcW w:w="992" w:type="dxa"/>
            <w:tcBorders>
              <w:top w:val="nil"/>
              <w:bottom w:val="single" w:sz="12" w:space="0" w:color="auto"/>
            </w:tcBorders>
          </w:tcPr>
          <w:p w14:paraId="69ACC346" w14:textId="77777777" w:rsidR="001E43C6" w:rsidRPr="00773031" w:rsidRDefault="001E43C6" w:rsidP="00EC011C">
            <w:pPr>
              <w:pStyle w:val="ae"/>
              <w:jc w:val="right"/>
              <w:rPr>
                <w:i w:val="0"/>
                <w:szCs w:val="22"/>
              </w:rPr>
            </w:pPr>
            <w:r>
              <w:rPr>
                <w:i w:val="0"/>
                <w:szCs w:val="22"/>
              </w:rPr>
              <w:t>9.3</w:t>
            </w:r>
          </w:p>
        </w:tc>
        <w:tc>
          <w:tcPr>
            <w:tcW w:w="993" w:type="dxa"/>
            <w:tcBorders>
              <w:top w:val="nil"/>
              <w:bottom w:val="single" w:sz="12" w:space="0" w:color="auto"/>
            </w:tcBorders>
          </w:tcPr>
          <w:p w14:paraId="23CC4580" w14:textId="77777777" w:rsidR="001E43C6" w:rsidRPr="00773031" w:rsidRDefault="001E43C6" w:rsidP="00EC011C">
            <w:pPr>
              <w:pStyle w:val="ae"/>
              <w:jc w:val="right"/>
              <w:rPr>
                <w:i w:val="0"/>
                <w:szCs w:val="22"/>
              </w:rPr>
            </w:pPr>
            <w:r>
              <w:rPr>
                <w:i w:val="0"/>
                <w:szCs w:val="22"/>
              </w:rPr>
              <w:t>91843</w:t>
            </w:r>
          </w:p>
        </w:tc>
        <w:tc>
          <w:tcPr>
            <w:tcW w:w="708" w:type="dxa"/>
            <w:tcBorders>
              <w:top w:val="nil"/>
              <w:bottom w:val="single" w:sz="12" w:space="0" w:color="auto"/>
            </w:tcBorders>
          </w:tcPr>
          <w:p w14:paraId="6E93021C" w14:textId="77777777" w:rsidR="001E43C6" w:rsidRPr="00773031" w:rsidRDefault="001E43C6" w:rsidP="00EC011C">
            <w:pPr>
              <w:pStyle w:val="ae"/>
              <w:jc w:val="right"/>
              <w:rPr>
                <w:i w:val="0"/>
                <w:szCs w:val="22"/>
              </w:rPr>
            </w:pPr>
            <w:r>
              <w:rPr>
                <w:i w:val="0"/>
                <w:szCs w:val="22"/>
              </w:rPr>
              <w:t>1154</w:t>
            </w:r>
          </w:p>
        </w:tc>
        <w:tc>
          <w:tcPr>
            <w:tcW w:w="851" w:type="dxa"/>
            <w:tcBorders>
              <w:top w:val="nil"/>
              <w:bottom w:val="single" w:sz="12" w:space="0" w:color="auto"/>
            </w:tcBorders>
          </w:tcPr>
          <w:p w14:paraId="18C4D85F" w14:textId="77777777" w:rsidR="001E43C6" w:rsidRPr="00773031" w:rsidRDefault="001E43C6" w:rsidP="00EC011C">
            <w:pPr>
              <w:pStyle w:val="ae"/>
              <w:jc w:val="right"/>
              <w:rPr>
                <w:i w:val="0"/>
                <w:szCs w:val="22"/>
              </w:rPr>
            </w:pPr>
            <w:r>
              <w:rPr>
                <w:i w:val="0"/>
                <w:szCs w:val="22"/>
              </w:rPr>
              <w:t>57.6</w:t>
            </w:r>
          </w:p>
        </w:tc>
      </w:tr>
    </w:tbl>
    <w:p w14:paraId="63249371" w14:textId="77777777" w:rsidR="001E43C6" w:rsidRDefault="001E43C6" w:rsidP="001E43C6">
      <w:pPr>
        <w:tabs>
          <w:tab w:val="left" w:pos="450"/>
        </w:tabs>
        <w:spacing w:after="0"/>
        <w:rPr>
          <w:rFonts w:ascii="Cambria" w:hAnsi="Cambria"/>
          <w:bCs/>
          <w:kern w:val="28"/>
          <w:sz w:val="24"/>
          <w:lang w:val="en-US"/>
        </w:rPr>
      </w:pP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Pr>
          <w:rFonts w:ascii="Cambria" w:hAnsi="Cambria"/>
          <w:bCs/>
          <w:kern w:val="28"/>
          <w:sz w:val="24"/>
          <w:lang w:val="en-US"/>
        </w:rPr>
        <w:tab/>
      </w:r>
      <w:r w:rsidRPr="003438A8">
        <w:rPr>
          <w:rFonts w:ascii="Cambria" w:hAnsi="Cambria"/>
          <w:bCs/>
          <w:kern w:val="28"/>
          <w:sz w:val="24"/>
          <w:lang w:val="en-US"/>
        </w:rPr>
        <w:t>Continuation of table 2</w:t>
      </w:r>
    </w:p>
    <w:tbl>
      <w:tblPr>
        <w:tblW w:w="6521" w:type="dxa"/>
        <w:jc w:val="center"/>
        <w:tblBorders>
          <w:top w:val="single" w:sz="4" w:space="0" w:color="auto"/>
        </w:tblBorders>
        <w:tblLayout w:type="fixed"/>
        <w:tblLook w:val="04A0" w:firstRow="1" w:lastRow="0" w:firstColumn="1" w:lastColumn="0" w:noHBand="0" w:noVBand="1"/>
      </w:tblPr>
      <w:tblGrid>
        <w:gridCol w:w="993"/>
        <w:gridCol w:w="1134"/>
        <w:gridCol w:w="992"/>
        <w:gridCol w:w="1417"/>
        <w:gridCol w:w="851"/>
        <w:gridCol w:w="1134"/>
      </w:tblGrid>
      <w:tr w:rsidR="001E43C6" w:rsidRPr="000F6D25" w14:paraId="790D508B" w14:textId="77777777" w:rsidTr="00EC011C">
        <w:trPr>
          <w:trHeight w:val="277"/>
          <w:jc w:val="center"/>
        </w:trPr>
        <w:tc>
          <w:tcPr>
            <w:tcW w:w="993" w:type="dxa"/>
            <w:tcBorders>
              <w:top w:val="single" w:sz="12" w:space="0" w:color="auto"/>
              <w:bottom w:val="single" w:sz="12" w:space="0" w:color="auto"/>
            </w:tcBorders>
          </w:tcPr>
          <w:p w14:paraId="0D393357" w14:textId="77777777" w:rsidR="001E43C6" w:rsidRPr="000F6D25" w:rsidRDefault="001E43C6" w:rsidP="00EC011C">
            <w:pPr>
              <w:pStyle w:val="ae"/>
              <w:spacing w:before="60" w:after="60"/>
              <w:jc w:val="center"/>
              <w:rPr>
                <w:i w:val="0"/>
                <w:szCs w:val="22"/>
              </w:rPr>
            </w:pPr>
            <w:r w:rsidRPr="000F6D25">
              <w:rPr>
                <w:i w:val="0"/>
                <w:szCs w:val="22"/>
              </w:rPr>
              <w:t>Investments in assets in GDP, %</w:t>
            </w:r>
          </w:p>
        </w:tc>
        <w:tc>
          <w:tcPr>
            <w:tcW w:w="1134" w:type="dxa"/>
            <w:tcBorders>
              <w:top w:val="single" w:sz="12" w:space="0" w:color="auto"/>
              <w:bottom w:val="single" w:sz="12" w:space="0" w:color="auto"/>
            </w:tcBorders>
          </w:tcPr>
          <w:p w14:paraId="6673498D" w14:textId="77777777" w:rsidR="001E43C6" w:rsidRPr="000F6D25" w:rsidRDefault="001E43C6" w:rsidP="00EC011C">
            <w:pPr>
              <w:pStyle w:val="ae"/>
              <w:spacing w:before="60" w:after="60"/>
              <w:jc w:val="center"/>
              <w:rPr>
                <w:i w:val="0"/>
                <w:szCs w:val="22"/>
              </w:rPr>
            </w:pPr>
            <w:r w:rsidRPr="000F6D25">
              <w:rPr>
                <w:i w:val="0"/>
                <w:szCs w:val="22"/>
              </w:rPr>
              <w:t>Share of robots on exchange,%</w:t>
            </w:r>
          </w:p>
        </w:tc>
        <w:tc>
          <w:tcPr>
            <w:tcW w:w="992" w:type="dxa"/>
            <w:tcBorders>
              <w:top w:val="single" w:sz="12" w:space="0" w:color="auto"/>
              <w:bottom w:val="single" w:sz="12" w:space="0" w:color="auto"/>
            </w:tcBorders>
          </w:tcPr>
          <w:p w14:paraId="6FD981DB" w14:textId="77777777" w:rsidR="001E43C6" w:rsidRPr="00E90403" w:rsidRDefault="001E43C6" w:rsidP="00EC011C">
            <w:pPr>
              <w:pStyle w:val="ae"/>
              <w:spacing w:before="60" w:after="60"/>
              <w:jc w:val="center"/>
              <w:rPr>
                <w:i w:val="0"/>
                <w:szCs w:val="22"/>
                <w:lang w:val="ru-RU"/>
              </w:rPr>
            </w:pPr>
            <w:r w:rsidRPr="003438A8">
              <w:rPr>
                <w:i w:val="0"/>
                <w:szCs w:val="22"/>
              </w:rPr>
              <w:t>Capital outflow</w:t>
            </w:r>
            <w:r>
              <w:rPr>
                <w:i w:val="0"/>
                <w:szCs w:val="22"/>
                <w:lang w:val="ru-RU"/>
              </w:rPr>
              <w:t xml:space="preserve"> </w:t>
            </w:r>
            <w:r w:rsidRPr="00E90403">
              <w:rPr>
                <w:i w:val="0"/>
                <w:szCs w:val="22"/>
              </w:rPr>
              <w:t>billion rubles</w:t>
            </w:r>
          </w:p>
        </w:tc>
        <w:tc>
          <w:tcPr>
            <w:tcW w:w="1417" w:type="dxa"/>
            <w:tcBorders>
              <w:top w:val="single" w:sz="12" w:space="0" w:color="auto"/>
              <w:bottom w:val="single" w:sz="12" w:space="0" w:color="auto"/>
            </w:tcBorders>
          </w:tcPr>
          <w:p w14:paraId="0657B462" w14:textId="77777777" w:rsidR="001E43C6" w:rsidRPr="003438A8" w:rsidRDefault="001E43C6" w:rsidP="00EC011C">
            <w:pPr>
              <w:pStyle w:val="ae"/>
              <w:spacing w:before="60" w:after="60"/>
              <w:jc w:val="center"/>
              <w:rPr>
                <w:i w:val="0"/>
                <w:szCs w:val="22"/>
              </w:rPr>
            </w:pPr>
            <w:r w:rsidRPr="00E90403">
              <w:rPr>
                <w:i w:val="0"/>
                <w:szCs w:val="22"/>
              </w:rPr>
              <w:t>Risk (VaR) banking system, billion rubles</w:t>
            </w:r>
          </w:p>
        </w:tc>
        <w:tc>
          <w:tcPr>
            <w:tcW w:w="851" w:type="dxa"/>
            <w:tcBorders>
              <w:top w:val="single" w:sz="12" w:space="0" w:color="auto"/>
              <w:bottom w:val="single" w:sz="12" w:space="0" w:color="auto"/>
            </w:tcBorders>
          </w:tcPr>
          <w:p w14:paraId="6DAFD6F6" w14:textId="77777777" w:rsidR="001E43C6" w:rsidRPr="003438A8" w:rsidRDefault="001E43C6" w:rsidP="00EC011C">
            <w:pPr>
              <w:pStyle w:val="ae"/>
              <w:spacing w:before="60" w:after="60"/>
              <w:jc w:val="center"/>
              <w:rPr>
                <w:i w:val="0"/>
                <w:szCs w:val="22"/>
              </w:rPr>
            </w:pPr>
            <w:r w:rsidRPr="00E90403">
              <w:rPr>
                <w:i w:val="0"/>
                <w:szCs w:val="22"/>
              </w:rPr>
              <w:t>Bank assets, trln. rub.</w:t>
            </w:r>
          </w:p>
        </w:tc>
        <w:tc>
          <w:tcPr>
            <w:tcW w:w="1134" w:type="dxa"/>
            <w:tcBorders>
              <w:top w:val="single" w:sz="12" w:space="0" w:color="auto"/>
              <w:bottom w:val="single" w:sz="12" w:space="0" w:color="auto"/>
            </w:tcBorders>
          </w:tcPr>
          <w:p w14:paraId="0DD68086" w14:textId="77777777" w:rsidR="001E43C6" w:rsidRPr="003438A8" w:rsidRDefault="001E43C6" w:rsidP="00EC011C">
            <w:pPr>
              <w:pStyle w:val="ae"/>
              <w:spacing w:before="60" w:after="60"/>
              <w:jc w:val="center"/>
              <w:rPr>
                <w:i w:val="0"/>
                <w:szCs w:val="22"/>
              </w:rPr>
            </w:pPr>
            <w:r w:rsidRPr="00E90403">
              <w:rPr>
                <w:i w:val="0"/>
                <w:szCs w:val="22"/>
              </w:rPr>
              <w:t>GDP forecast, billion rubles</w:t>
            </w:r>
          </w:p>
        </w:tc>
      </w:tr>
      <w:tr w:rsidR="001E43C6" w14:paraId="44F39DE3" w14:textId="77777777" w:rsidTr="00EC011C">
        <w:trPr>
          <w:trHeight w:val="112"/>
          <w:jc w:val="center"/>
        </w:trPr>
        <w:tc>
          <w:tcPr>
            <w:tcW w:w="993" w:type="dxa"/>
            <w:tcBorders>
              <w:top w:val="single" w:sz="12" w:space="0" w:color="auto"/>
            </w:tcBorders>
          </w:tcPr>
          <w:p w14:paraId="0ED7E9B9" w14:textId="77777777" w:rsidR="001E43C6" w:rsidRPr="00773031" w:rsidRDefault="001E43C6" w:rsidP="00EC011C">
            <w:pPr>
              <w:pStyle w:val="ae"/>
              <w:jc w:val="right"/>
              <w:rPr>
                <w:i w:val="0"/>
                <w:szCs w:val="22"/>
              </w:rPr>
            </w:pPr>
            <w:r>
              <w:rPr>
                <w:i w:val="0"/>
                <w:szCs w:val="22"/>
              </w:rPr>
              <w:t>21.2</w:t>
            </w:r>
          </w:p>
        </w:tc>
        <w:tc>
          <w:tcPr>
            <w:tcW w:w="1134" w:type="dxa"/>
            <w:tcBorders>
              <w:top w:val="single" w:sz="12" w:space="0" w:color="auto"/>
            </w:tcBorders>
          </w:tcPr>
          <w:p w14:paraId="0C2E1030" w14:textId="77777777" w:rsidR="001E43C6" w:rsidRPr="00773031" w:rsidRDefault="001E43C6" w:rsidP="00EC011C">
            <w:pPr>
              <w:pStyle w:val="ae"/>
              <w:jc w:val="right"/>
              <w:rPr>
                <w:i w:val="0"/>
                <w:szCs w:val="22"/>
              </w:rPr>
            </w:pPr>
            <w:r>
              <w:rPr>
                <w:i w:val="0"/>
                <w:szCs w:val="22"/>
              </w:rPr>
              <w:t>58</w:t>
            </w:r>
          </w:p>
        </w:tc>
        <w:tc>
          <w:tcPr>
            <w:tcW w:w="992" w:type="dxa"/>
            <w:tcBorders>
              <w:top w:val="single" w:sz="12" w:space="0" w:color="auto"/>
            </w:tcBorders>
          </w:tcPr>
          <w:p w14:paraId="5E2FBAD5" w14:textId="77777777" w:rsidR="001E43C6" w:rsidRPr="00E90403" w:rsidRDefault="001E43C6" w:rsidP="00EC011C">
            <w:pPr>
              <w:pStyle w:val="ae"/>
              <w:jc w:val="right"/>
              <w:rPr>
                <w:i w:val="0"/>
                <w:szCs w:val="22"/>
                <w:lang w:val="ru-RU"/>
              </w:rPr>
            </w:pPr>
            <w:r>
              <w:rPr>
                <w:i w:val="0"/>
                <w:szCs w:val="22"/>
                <w:lang w:val="ru-RU"/>
              </w:rPr>
              <w:t>72</w:t>
            </w:r>
          </w:p>
        </w:tc>
        <w:tc>
          <w:tcPr>
            <w:tcW w:w="1417" w:type="dxa"/>
            <w:tcBorders>
              <w:top w:val="single" w:sz="12" w:space="0" w:color="auto"/>
            </w:tcBorders>
          </w:tcPr>
          <w:p w14:paraId="681F5C76" w14:textId="77777777" w:rsidR="001E43C6" w:rsidRPr="00BF7D51" w:rsidRDefault="001E43C6" w:rsidP="00EC011C">
            <w:pPr>
              <w:pStyle w:val="ae"/>
              <w:jc w:val="right"/>
              <w:rPr>
                <w:i w:val="0"/>
                <w:szCs w:val="22"/>
                <w:lang w:val="ru-RU"/>
              </w:rPr>
            </w:pPr>
            <w:r w:rsidRPr="00BF7D51">
              <w:rPr>
                <w:i w:val="0"/>
                <w:szCs w:val="22"/>
                <w:lang w:val="ru-RU"/>
              </w:rPr>
              <w:t>-108</w:t>
            </w:r>
            <w:r w:rsidRPr="00BF7D51">
              <w:rPr>
                <w:i w:val="0"/>
                <w:szCs w:val="22"/>
              </w:rPr>
              <w:t>.</w:t>
            </w:r>
            <w:r w:rsidRPr="00BF7D51">
              <w:rPr>
                <w:i w:val="0"/>
                <w:szCs w:val="22"/>
                <w:lang w:val="ru-RU"/>
              </w:rPr>
              <w:t>5</w:t>
            </w:r>
          </w:p>
        </w:tc>
        <w:tc>
          <w:tcPr>
            <w:tcW w:w="851" w:type="dxa"/>
            <w:tcBorders>
              <w:top w:val="single" w:sz="12" w:space="0" w:color="auto"/>
            </w:tcBorders>
          </w:tcPr>
          <w:p w14:paraId="162B07F7" w14:textId="77777777" w:rsidR="001E43C6" w:rsidRPr="00E90403" w:rsidRDefault="001E43C6" w:rsidP="00EC011C">
            <w:pPr>
              <w:pStyle w:val="ae"/>
              <w:jc w:val="right"/>
              <w:rPr>
                <w:i w:val="0"/>
                <w:szCs w:val="22"/>
                <w:lang w:val="ru-RU"/>
              </w:rPr>
            </w:pPr>
            <w:r>
              <w:rPr>
                <w:i w:val="0"/>
                <w:szCs w:val="22"/>
                <w:lang w:val="ru-RU"/>
              </w:rPr>
              <w:t>120</w:t>
            </w:r>
          </w:p>
        </w:tc>
        <w:tc>
          <w:tcPr>
            <w:tcW w:w="1134" w:type="dxa"/>
            <w:tcBorders>
              <w:top w:val="single" w:sz="12" w:space="0" w:color="auto"/>
            </w:tcBorders>
          </w:tcPr>
          <w:p w14:paraId="0BDD5431" w14:textId="77777777" w:rsidR="001E43C6" w:rsidRPr="00C261EF" w:rsidRDefault="001E43C6" w:rsidP="00EC011C">
            <w:pPr>
              <w:pStyle w:val="ae"/>
              <w:jc w:val="right"/>
              <w:rPr>
                <w:i w:val="0"/>
                <w:szCs w:val="22"/>
              </w:rPr>
            </w:pPr>
            <w:r>
              <w:rPr>
                <w:i w:val="0"/>
                <w:szCs w:val="22"/>
                <w:lang w:val="ru-RU"/>
              </w:rPr>
              <w:t>130015</w:t>
            </w:r>
            <w:r>
              <w:rPr>
                <w:i w:val="0"/>
                <w:szCs w:val="22"/>
              </w:rPr>
              <w:t>.0</w:t>
            </w:r>
          </w:p>
        </w:tc>
      </w:tr>
      <w:tr w:rsidR="001E43C6" w14:paraId="5A928F3C" w14:textId="77777777" w:rsidTr="00EC011C">
        <w:trPr>
          <w:trHeight w:val="112"/>
          <w:jc w:val="center"/>
        </w:trPr>
        <w:tc>
          <w:tcPr>
            <w:tcW w:w="993" w:type="dxa"/>
          </w:tcPr>
          <w:p w14:paraId="50FCEF3F" w14:textId="77777777" w:rsidR="001E43C6" w:rsidRPr="00773031" w:rsidRDefault="001E43C6" w:rsidP="00EC011C">
            <w:pPr>
              <w:pStyle w:val="ae"/>
              <w:jc w:val="right"/>
              <w:rPr>
                <w:i w:val="0"/>
                <w:szCs w:val="22"/>
              </w:rPr>
            </w:pPr>
            <w:r>
              <w:rPr>
                <w:i w:val="0"/>
                <w:szCs w:val="22"/>
              </w:rPr>
              <w:t>16.5</w:t>
            </w:r>
          </w:p>
        </w:tc>
        <w:tc>
          <w:tcPr>
            <w:tcW w:w="1134" w:type="dxa"/>
          </w:tcPr>
          <w:p w14:paraId="12731F4D" w14:textId="77777777" w:rsidR="001E43C6" w:rsidRPr="00773031" w:rsidRDefault="001E43C6" w:rsidP="00EC011C">
            <w:pPr>
              <w:pStyle w:val="ae"/>
              <w:jc w:val="right"/>
              <w:rPr>
                <w:i w:val="0"/>
                <w:szCs w:val="22"/>
              </w:rPr>
            </w:pPr>
            <w:r>
              <w:rPr>
                <w:i w:val="0"/>
                <w:szCs w:val="22"/>
              </w:rPr>
              <w:t>55</w:t>
            </w:r>
          </w:p>
        </w:tc>
        <w:tc>
          <w:tcPr>
            <w:tcW w:w="992" w:type="dxa"/>
          </w:tcPr>
          <w:p w14:paraId="65849786" w14:textId="77777777" w:rsidR="001E43C6" w:rsidRPr="00E90403" w:rsidRDefault="001E43C6" w:rsidP="00EC011C">
            <w:pPr>
              <w:pStyle w:val="ae"/>
              <w:jc w:val="right"/>
              <w:rPr>
                <w:i w:val="0"/>
                <w:szCs w:val="22"/>
                <w:lang w:val="ru-RU"/>
              </w:rPr>
            </w:pPr>
            <w:r>
              <w:rPr>
                <w:i w:val="0"/>
                <w:szCs w:val="22"/>
                <w:lang w:val="ru-RU"/>
              </w:rPr>
              <w:t>53</w:t>
            </w:r>
          </w:p>
        </w:tc>
        <w:tc>
          <w:tcPr>
            <w:tcW w:w="1417" w:type="dxa"/>
          </w:tcPr>
          <w:p w14:paraId="2AB5E59E" w14:textId="77777777" w:rsidR="001E43C6" w:rsidRPr="00BF7D51" w:rsidRDefault="001E43C6" w:rsidP="00EC011C">
            <w:pPr>
              <w:pStyle w:val="ae"/>
              <w:jc w:val="right"/>
              <w:rPr>
                <w:i w:val="0"/>
                <w:szCs w:val="22"/>
                <w:lang w:val="ru-RU"/>
              </w:rPr>
            </w:pPr>
            <w:r w:rsidRPr="00BF7D51">
              <w:rPr>
                <w:i w:val="0"/>
                <w:szCs w:val="22"/>
                <w:lang w:val="ru-RU"/>
              </w:rPr>
              <w:t>-72</w:t>
            </w:r>
            <w:r w:rsidRPr="00BF7D51">
              <w:rPr>
                <w:i w:val="0"/>
                <w:szCs w:val="22"/>
              </w:rPr>
              <w:t>.</w:t>
            </w:r>
            <w:r w:rsidRPr="00BF7D51">
              <w:rPr>
                <w:i w:val="0"/>
                <w:szCs w:val="22"/>
                <w:lang w:val="ru-RU"/>
              </w:rPr>
              <w:t>7</w:t>
            </w:r>
          </w:p>
        </w:tc>
        <w:tc>
          <w:tcPr>
            <w:tcW w:w="851" w:type="dxa"/>
          </w:tcPr>
          <w:p w14:paraId="1F36B47E" w14:textId="77777777" w:rsidR="001E43C6" w:rsidRPr="00E90403" w:rsidRDefault="001E43C6" w:rsidP="00EC011C">
            <w:pPr>
              <w:pStyle w:val="ae"/>
              <w:jc w:val="right"/>
              <w:rPr>
                <w:i w:val="0"/>
                <w:szCs w:val="22"/>
                <w:lang w:val="ru-RU"/>
              </w:rPr>
            </w:pPr>
            <w:r>
              <w:rPr>
                <w:i w:val="0"/>
                <w:szCs w:val="22"/>
                <w:lang w:val="ru-RU"/>
              </w:rPr>
              <w:t>103,7</w:t>
            </w:r>
          </w:p>
        </w:tc>
        <w:tc>
          <w:tcPr>
            <w:tcW w:w="1134" w:type="dxa"/>
          </w:tcPr>
          <w:p w14:paraId="10B7144D" w14:textId="77777777" w:rsidR="001E43C6" w:rsidRPr="00E90403" w:rsidRDefault="001E43C6" w:rsidP="00EC011C">
            <w:pPr>
              <w:pStyle w:val="ae"/>
              <w:jc w:val="right"/>
              <w:rPr>
                <w:i w:val="0"/>
                <w:szCs w:val="22"/>
                <w:lang w:val="ru-RU"/>
              </w:rPr>
            </w:pPr>
            <w:r>
              <w:rPr>
                <w:i w:val="0"/>
                <w:szCs w:val="22"/>
                <w:lang w:val="ru-RU"/>
              </w:rPr>
              <w:t>107315</w:t>
            </w:r>
            <w:r>
              <w:rPr>
                <w:i w:val="0"/>
                <w:szCs w:val="22"/>
              </w:rPr>
              <w:t>.</w:t>
            </w:r>
            <w:r>
              <w:rPr>
                <w:i w:val="0"/>
                <w:szCs w:val="22"/>
                <w:lang w:val="ru-RU"/>
              </w:rPr>
              <w:t>5</w:t>
            </w:r>
          </w:p>
        </w:tc>
      </w:tr>
      <w:tr w:rsidR="001E43C6" w14:paraId="15B1526F" w14:textId="77777777" w:rsidTr="00EC011C">
        <w:trPr>
          <w:trHeight w:val="112"/>
          <w:jc w:val="center"/>
        </w:trPr>
        <w:tc>
          <w:tcPr>
            <w:tcW w:w="993" w:type="dxa"/>
          </w:tcPr>
          <w:p w14:paraId="438DD2A7" w14:textId="77777777" w:rsidR="001E43C6" w:rsidRPr="00773031" w:rsidRDefault="001E43C6" w:rsidP="00EC011C">
            <w:pPr>
              <w:pStyle w:val="ae"/>
              <w:jc w:val="right"/>
              <w:rPr>
                <w:i w:val="0"/>
                <w:szCs w:val="22"/>
              </w:rPr>
            </w:pPr>
            <w:r>
              <w:rPr>
                <w:i w:val="0"/>
                <w:szCs w:val="22"/>
              </w:rPr>
              <w:t>20.6</w:t>
            </w:r>
          </w:p>
        </w:tc>
        <w:tc>
          <w:tcPr>
            <w:tcW w:w="1134" w:type="dxa"/>
          </w:tcPr>
          <w:p w14:paraId="32D7330D" w14:textId="77777777" w:rsidR="001E43C6" w:rsidRPr="00773031" w:rsidRDefault="001E43C6" w:rsidP="00EC011C">
            <w:pPr>
              <w:pStyle w:val="ae"/>
              <w:jc w:val="right"/>
              <w:rPr>
                <w:i w:val="0"/>
                <w:szCs w:val="22"/>
              </w:rPr>
            </w:pPr>
            <w:r>
              <w:rPr>
                <w:i w:val="0"/>
                <w:szCs w:val="22"/>
              </w:rPr>
              <w:t>55</w:t>
            </w:r>
          </w:p>
        </w:tc>
        <w:tc>
          <w:tcPr>
            <w:tcW w:w="992" w:type="dxa"/>
          </w:tcPr>
          <w:p w14:paraId="04CE4029" w14:textId="77777777" w:rsidR="001E43C6" w:rsidRPr="00E90403" w:rsidRDefault="001E43C6" w:rsidP="00EC011C">
            <w:pPr>
              <w:pStyle w:val="ae"/>
              <w:jc w:val="right"/>
              <w:rPr>
                <w:i w:val="0"/>
                <w:szCs w:val="22"/>
                <w:lang w:val="ru-RU"/>
              </w:rPr>
            </w:pPr>
            <w:r>
              <w:rPr>
                <w:i w:val="0"/>
                <w:szCs w:val="22"/>
                <w:lang w:val="ru-RU"/>
              </w:rPr>
              <w:t>25,2</w:t>
            </w:r>
          </w:p>
        </w:tc>
        <w:tc>
          <w:tcPr>
            <w:tcW w:w="1417" w:type="dxa"/>
          </w:tcPr>
          <w:p w14:paraId="77800E7A" w14:textId="77777777" w:rsidR="001E43C6" w:rsidRPr="00BF7D51" w:rsidRDefault="001E43C6" w:rsidP="00EC011C">
            <w:pPr>
              <w:pStyle w:val="ae"/>
              <w:jc w:val="right"/>
              <w:rPr>
                <w:i w:val="0"/>
                <w:szCs w:val="22"/>
                <w:lang w:val="ru-RU"/>
              </w:rPr>
            </w:pPr>
            <w:r w:rsidRPr="00BF7D51">
              <w:rPr>
                <w:i w:val="0"/>
                <w:szCs w:val="22"/>
                <w:lang w:val="ru-RU"/>
              </w:rPr>
              <w:t>-77</w:t>
            </w:r>
            <w:r w:rsidRPr="00BF7D51">
              <w:rPr>
                <w:i w:val="0"/>
                <w:szCs w:val="22"/>
              </w:rPr>
              <w:t>.</w:t>
            </w:r>
            <w:r w:rsidRPr="00BF7D51">
              <w:rPr>
                <w:i w:val="0"/>
                <w:szCs w:val="22"/>
                <w:lang w:val="ru-RU"/>
              </w:rPr>
              <w:t>5</w:t>
            </w:r>
          </w:p>
        </w:tc>
        <w:tc>
          <w:tcPr>
            <w:tcW w:w="851" w:type="dxa"/>
          </w:tcPr>
          <w:p w14:paraId="06B85742" w14:textId="77777777" w:rsidR="001E43C6" w:rsidRPr="00E90403" w:rsidRDefault="001E43C6" w:rsidP="00EC011C">
            <w:pPr>
              <w:pStyle w:val="ae"/>
              <w:jc w:val="right"/>
              <w:rPr>
                <w:i w:val="0"/>
                <w:szCs w:val="22"/>
                <w:lang w:val="ru-RU"/>
              </w:rPr>
            </w:pPr>
            <w:r>
              <w:rPr>
                <w:i w:val="0"/>
                <w:szCs w:val="22"/>
                <w:lang w:val="ru-RU"/>
              </w:rPr>
              <w:t>92,6</w:t>
            </w:r>
          </w:p>
        </w:tc>
        <w:tc>
          <w:tcPr>
            <w:tcW w:w="1134" w:type="dxa"/>
          </w:tcPr>
          <w:p w14:paraId="68F8390B" w14:textId="77777777" w:rsidR="001E43C6" w:rsidRPr="00E90403" w:rsidRDefault="001E43C6" w:rsidP="00EC011C">
            <w:pPr>
              <w:pStyle w:val="ae"/>
              <w:jc w:val="right"/>
              <w:rPr>
                <w:i w:val="0"/>
                <w:szCs w:val="22"/>
                <w:lang w:val="ru-RU"/>
              </w:rPr>
            </w:pPr>
            <w:r>
              <w:rPr>
                <w:i w:val="0"/>
                <w:szCs w:val="22"/>
                <w:lang w:val="ru-RU"/>
              </w:rPr>
              <w:t>109241</w:t>
            </w:r>
            <w:r>
              <w:rPr>
                <w:i w:val="0"/>
                <w:szCs w:val="22"/>
              </w:rPr>
              <w:t>.</w:t>
            </w:r>
            <w:r>
              <w:rPr>
                <w:i w:val="0"/>
                <w:szCs w:val="22"/>
                <w:lang w:val="ru-RU"/>
              </w:rPr>
              <w:t>5</w:t>
            </w:r>
          </w:p>
        </w:tc>
      </w:tr>
      <w:tr w:rsidR="001E43C6" w14:paraId="56496D88" w14:textId="77777777" w:rsidTr="00EC011C">
        <w:trPr>
          <w:trHeight w:val="123"/>
          <w:jc w:val="center"/>
        </w:trPr>
        <w:tc>
          <w:tcPr>
            <w:tcW w:w="993" w:type="dxa"/>
            <w:tcBorders>
              <w:bottom w:val="nil"/>
            </w:tcBorders>
          </w:tcPr>
          <w:p w14:paraId="4EB43454" w14:textId="77777777" w:rsidR="001E43C6" w:rsidRPr="00773031" w:rsidRDefault="001E43C6" w:rsidP="00EC011C">
            <w:pPr>
              <w:pStyle w:val="ae"/>
              <w:jc w:val="right"/>
              <w:rPr>
                <w:i w:val="0"/>
                <w:szCs w:val="22"/>
              </w:rPr>
            </w:pPr>
            <w:r>
              <w:rPr>
                <w:i w:val="0"/>
                <w:szCs w:val="22"/>
              </w:rPr>
              <w:t>20.6</w:t>
            </w:r>
          </w:p>
        </w:tc>
        <w:tc>
          <w:tcPr>
            <w:tcW w:w="1134" w:type="dxa"/>
            <w:tcBorders>
              <w:bottom w:val="nil"/>
            </w:tcBorders>
          </w:tcPr>
          <w:p w14:paraId="724869B5" w14:textId="77777777" w:rsidR="001E43C6" w:rsidRPr="00773031" w:rsidRDefault="001E43C6" w:rsidP="00EC011C">
            <w:pPr>
              <w:pStyle w:val="ae"/>
              <w:jc w:val="right"/>
              <w:rPr>
                <w:i w:val="0"/>
                <w:szCs w:val="22"/>
              </w:rPr>
            </w:pPr>
            <w:r>
              <w:rPr>
                <w:i w:val="0"/>
                <w:szCs w:val="22"/>
              </w:rPr>
              <w:t>51</w:t>
            </w:r>
          </w:p>
        </w:tc>
        <w:tc>
          <w:tcPr>
            <w:tcW w:w="992" w:type="dxa"/>
            <w:tcBorders>
              <w:bottom w:val="nil"/>
            </w:tcBorders>
          </w:tcPr>
          <w:p w14:paraId="5F0C33DF" w14:textId="77777777" w:rsidR="001E43C6" w:rsidRPr="00E90403" w:rsidRDefault="001E43C6" w:rsidP="00EC011C">
            <w:pPr>
              <w:pStyle w:val="ae"/>
              <w:jc w:val="right"/>
              <w:rPr>
                <w:i w:val="0"/>
                <w:szCs w:val="22"/>
                <w:lang w:val="ru-RU"/>
              </w:rPr>
            </w:pPr>
            <w:r>
              <w:rPr>
                <w:i w:val="0"/>
                <w:szCs w:val="22"/>
                <w:lang w:val="ru-RU"/>
              </w:rPr>
              <w:t>60</w:t>
            </w:r>
          </w:p>
        </w:tc>
        <w:tc>
          <w:tcPr>
            <w:tcW w:w="1417" w:type="dxa"/>
            <w:tcBorders>
              <w:bottom w:val="nil"/>
            </w:tcBorders>
          </w:tcPr>
          <w:p w14:paraId="722EDA3C" w14:textId="77777777" w:rsidR="001E43C6" w:rsidRPr="00BF7D51" w:rsidRDefault="001E43C6" w:rsidP="00EC011C">
            <w:pPr>
              <w:pStyle w:val="ae"/>
              <w:jc w:val="right"/>
              <w:rPr>
                <w:i w:val="0"/>
                <w:szCs w:val="22"/>
                <w:lang w:val="ru-RU"/>
              </w:rPr>
            </w:pPr>
            <w:r w:rsidRPr="00BF7D51">
              <w:rPr>
                <w:i w:val="0"/>
                <w:szCs w:val="22"/>
                <w:lang w:val="ru-RU"/>
              </w:rPr>
              <w:t>-77</w:t>
            </w:r>
            <w:r w:rsidRPr="00BF7D51">
              <w:rPr>
                <w:i w:val="0"/>
                <w:szCs w:val="22"/>
              </w:rPr>
              <w:t>.</w:t>
            </w:r>
            <w:r w:rsidRPr="00BF7D51">
              <w:rPr>
                <w:i w:val="0"/>
                <w:szCs w:val="22"/>
                <w:lang w:val="ru-RU"/>
              </w:rPr>
              <w:t>1</w:t>
            </w:r>
          </w:p>
        </w:tc>
        <w:tc>
          <w:tcPr>
            <w:tcW w:w="851" w:type="dxa"/>
            <w:tcBorders>
              <w:bottom w:val="nil"/>
            </w:tcBorders>
          </w:tcPr>
          <w:p w14:paraId="0A77230A" w14:textId="77777777" w:rsidR="001E43C6" w:rsidRPr="00E90403" w:rsidRDefault="001E43C6" w:rsidP="00EC011C">
            <w:pPr>
              <w:pStyle w:val="ae"/>
              <w:jc w:val="right"/>
              <w:rPr>
                <w:i w:val="0"/>
                <w:szCs w:val="22"/>
                <w:lang w:val="ru-RU"/>
              </w:rPr>
            </w:pPr>
            <w:r>
              <w:rPr>
                <w:i w:val="0"/>
                <w:szCs w:val="22"/>
                <w:lang w:val="ru-RU"/>
              </w:rPr>
              <w:t>92,1</w:t>
            </w:r>
          </w:p>
        </w:tc>
        <w:tc>
          <w:tcPr>
            <w:tcW w:w="1134" w:type="dxa"/>
            <w:tcBorders>
              <w:bottom w:val="nil"/>
            </w:tcBorders>
          </w:tcPr>
          <w:p w14:paraId="1787F833" w14:textId="77777777" w:rsidR="001E43C6" w:rsidRPr="00E90403" w:rsidRDefault="001E43C6" w:rsidP="00EC011C">
            <w:pPr>
              <w:pStyle w:val="ae"/>
              <w:jc w:val="right"/>
              <w:rPr>
                <w:i w:val="0"/>
                <w:szCs w:val="22"/>
                <w:lang w:val="ru-RU"/>
              </w:rPr>
            </w:pPr>
            <w:r>
              <w:rPr>
                <w:i w:val="0"/>
                <w:szCs w:val="22"/>
                <w:lang w:val="ru-RU"/>
              </w:rPr>
              <w:t>103861</w:t>
            </w:r>
            <w:r>
              <w:rPr>
                <w:i w:val="0"/>
                <w:szCs w:val="22"/>
              </w:rPr>
              <w:t>.</w:t>
            </w:r>
            <w:r>
              <w:rPr>
                <w:i w:val="0"/>
                <w:szCs w:val="22"/>
                <w:lang w:val="ru-RU"/>
              </w:rPr>
              <w:t>7</w:t>
            </w:r>
          </w:p>
        </w:tc>
      </w:tr>
      <w:tr w:rsidR="001E43C6" w14:paraId="14016207" w14:textId="77777777" w:rsidTr="00EC011C">
        <w:trPr>
          <w:trHeight w:val="112"/>
          <w:jc w:val="center"/>
        </w:trPr>
        <w:tc>
          <w:tcPr>
            <w:tcW w:w="993" w:type="dxa"/>
            <w:tcBorders>
              <w:top w:val="nil"/>
              <w:bottom w:val="single" w:sz="12" w:space="0" w:color="auto"/>
            </w:tcBorders>
          </w:tcPr>
          <w:p w14:paraId="59FBCC4D" w14:textId="77777777" w:rsidR="001E43C6" w:rsidRPr="00773031" w:rsidRDefault="001E43C6" w:rsidP="00EC011C">
            <w:pPr>
              <w:pStyle w:val="ae"/>
              <w:jc w:val="right"/>
              <w:rPr>
                <w:i w:val="0"/>
                <w:szCs w:val="22"/>
              </w:rPr>
            </w:pPr>
            <w:r>
              <w:rPr>
                <w:i w:val="0"/>
                <w:szCs w:val="22"/>
              </w:rPr>
              <w:t>21.4</w:t>
            </w:r>
          </w:p>
        </w:tc>
        <w:tc>
          <w:tcPr>
            <w:tcW w:w="1134" w:type="dxa"/>
            <w:tcBorders>
              <w:top w:val="nil"/>
              <w:bottom w:val="single" w:sz="12" w:space="0" w:color="auto"/>
            </w:tcBorders>
          </w:tcPr>
          <w:p w14:paraId="2BD99445" w14:textId="77777777" w:rsidR="001E43C6" w:rsidRPr="00773031" w:rsidRDefault="001E43C6" w:rsidP="00EC011C">
            <w:pPr>
              <w:pStyle w:val="ae"/>
              <w:jc w:val="right"/>
              <w:rPr>
                <w:i w:val="0"/>
                <w:szCs w:val="22"/>
              </w:rPr>
            </w:pPr>
            <w:r>
              <w:rPr>
                <w:i w:val="0"/>
                <w:szCs w:val="22"/>
              </w:rPr>
              <w:t>51</w:t>
            </w:r>
          </w:p>
        </w:tc>
        <w:tc>
          <w:tcPr>
            <w:tcW w:w="992" w:type="dxa"/>
            <w:tcBorders>
              <w:top w:val="nil"/>
              <w:bottom w:val="single" w:sz="12" w:space="0" w:color="auto"/>
            </w:tcBorders>
          </w:tcPr>
          <w:p w14:paraId="5519DCED" w14:textId="77777777" w:rsidR="001E43C6" w:rsidRPr="00E90403" w:rsidRDefault="001E43C6" w:rsidP="00EC011C">
            <w:pPr>
              <w:pStyle w:val="ae"/>
              <w:jc w:val="right"/>
              <w:rPr>
                <w:i w:val="0"/>
                <w:szCs w:val="22"/>
                <w:lang w:val="ru-RU"/>
              </w:rPr>
            </w:pPr>
            <w:r>
              <w:rPr>
                <w:i w:val="0"/>
                <w:szCs w:val="22"/>
                <w:lang w:val="ru-RU"/>
              </w:rPr>
              <w:t>33,3</w:t>
            </w:r>
          </w:p>
        </w:tc>
        <w:tc>
          <w:tcPr>
            <w:tcW w:w="1417" w:type="dxa"/>
            <w:tcBorders>
              <w:top w:val="nil"/>
              <w:bottom w:val="single" w:sz="12" w:space="0" w:color="auto"/>
            </w:tcBorders>
          </w:tcPr>
          <w:p w14:paraId="5C3D6356" w14:textId="77777777" w:rsidR="001E43C6" w:rsidRPr="00BF7D51" w:rsidRDefault="001E43C6" w:rsidP="00EC011C">
            <w:pPr>
              <w:pStyle w:val="ae"/>
              <w:jc w:val="right"/>
              <w:rPr>
                <w:i w:val="0"/>
                <w:szCs w:val="22"/>
              </w:rPr>
            </w:pPr>
            <w:r w:rsidRPr="00BF7D51">
              <w:rPr>
                <w:i w:val="0"/>
                <w:szCs w:val="22"/>
                <w:lang w:val="ru-RU"/>
              </w:rPr>
              <w:t>-58</w:t>
            </w:r>
            <w:r w:rsidRPr="00BF7D51">
              <w:rPr>
                <w:i w:val="0"/>
                <w:szCs w:val="22"/>
              </w:rPr>
              <w:t>.8</w:t>
            </w:r>
          </w:p>
        </w:tc>
        <w:tc>
          <w:tcPr>
            <w:tcW w:w="851" w:type="dxa"/>
            <w:tcBorders>
              <w:top w:val="nil"/>
              <w:bottom w:val="single" w:sz="12" w:space="0" w:color="auto"/>
            </w:tcBorders>
          </w:tcPr>
          <w:p w14:paraId="3A18C205" w14:textId="77777777" w:rsidR="001E43C6" w:rsidRPr="00E90403" w:rsidRDefault="001E43C6" w:rsidP="00EC011C">
            <w:pPr>
              <w:pStyle w:val="ae"/>
              <w:jc w:val="right"/>
              <w:rPr>
                <w:i w:val="0"/>
                <w:szCs w:val="22"/>
                <w:lang w:val="ru-RU"/>
              </w:rPr>
            </w:pPr>
            <w:r>
              <w:rPr>
                <w:i w:val="0"/>
                <w:szCs w:val="22"/>
                <w:lang w:val="ru-RU"/>
              </w:rPr>
              <w:t>85,2</w:t>
            </w:r>
          </w:p>
        </w:tc>
        <w:tc>
          <w:tcPr>
            <w:tcW w:w="1134" w:type="dxa"/>
            <w:tcBorders>
              <w:top w:val="nil"/>
              <w:bottom w:val="single" w:sz="12" w:space="0" w:color="auto"/>
            </w:tcBorders>
          </w:tcPr>
          <w:p w14:paraId="62D8033F" w14:textId="77777777" w:rsidR="001E43C6" w:rsidRPr="00E90403" w:rsidRDefault="001E43C6" w:rsidP="00EC011C">
            <w:pPr>
              <w:pStyle w:val="ae"/>
              <w:jc w:val="right"/>
              <w:rPr>
                <w:i w:val="0"/>
                <w:szCs w:val="22"/>
                <w:lang w:val="ru-RU"/>
              </w:rPr>
            </w:pPr>
            <w:r>
              <w:rPr>
                <w:i w:val="0"/>
                <w:szCs w:val="22"/>
                <w:lang w:val="ru-RU"/>
              </w:rPr>
              <w:t>91843</w:t>
            </w:r>
            <w:r>
              <w:rPr>
                <w:i w:val="0"/>
                <w:szCs w:val="22"/>
              </w:rPr>
              <w:t>.</w:t>
            </w:r>
            <w:r>
              <w:rPr>
                <w:i w:val="0"/>
                <w:szCs w:val="22"/>
                <w:lang w:val="ru-RU"/>
              </w:rPr>
              <w:t>2</w:t>
            </w:r>
          </w:p>
        </w:tc>
      </w:tr>
    </w:tbl>
    <w:p w14:paraId="4125299C" w14:textId="77777777" w:rsidR="001E43C6" w:rsidRDefault="001E43C6" w:rsidP="001E43C6">
      <w:pPr>
        <w:tabs>
          <w:tab w:val="left" w:pos="450"/>
        </w:tabs>
        <w:spacing w:after="0"/>
        <w:ind w:firstLine="425"/>
        <w:rPr>
          <w:rFonts w:ascii="Cambria" w:hAnsi="Cambria"/>
          <w:sz w:val="24"/>
          <w:lang w:val="en-US"/>
        </w:rPr>
      </w:pPr>
    </w:p>
    <w:p w14:paraId="155EE43B" w14:textId="4CD276D2" w:rsidR="001E43C6" w:rsidRPr="001E43C6" w:rsidRDefault="001E43C6" w:rsidP="00EF541B">
      <w:pPr>
        <w:tabs>
          <w:tab w:val="left" w:pos="450"/>
        </w:tabs>
        <w:spacing w:after="0"/>
        <w:ind w:right="280" w:firstLine="425"/>
        <w:rPr>
          <w:rFonts w:ascii="Cambria" w:hAnsi="Cambria"/>
          <w:sz w:val="24"/>
          <w:lang w:val="en-US"/>
        </w:rPr>
      </w:pPr>
      <w:r w:rsidRPr="001E43C6">
        <w:rPr>
          <w:rFonts w:ascii="Cambria" w:hAnsi="Cambria"/>
          <w:sz w:val="24"/>
          <w:lang w:val="en-US"/>
        </w:rPr>
        <w:t>The neural network dataset includes data for the period 2010-2021. The statistics are given in the table 1 in order to use these data to train the neural network model.</w:t>
      </w:r>
    </w:p>
    <w:p w14:paraId="74666E57" w14:textId="77777777" w:rsidR="001E43C6" w:rsidRPr="001E43C6" w:rsidRDefault="001E43C6" w:rsidP="00EF541B">
      <w:pPr>
        <w:tabs>
          <w:tab w:val="left" w:pos="450"/>
        </w:tabs>
        <w:spacing w:after="0"/>
        <w:ind w:right="280" w:firstLine="425"/>
        <w:rPr>
          <w:rFonts w:ascii="Cambria" w:hAnsi="Cambria"/>
          <w:sz w:val="24"/>
          <w:lang w:val="en-US"/>
        </w:rPr>
      </w:pPr>
      <w:r w:rsidRPr="001E43C6">
        <w:rPr>
          <w:rFonts w:ascii="Cambria" w:hAnsi="Cambria"/>
          <w:sz w:val="24"/>
          <w:lang w:val="en-US"/>
        </w:rPr>
        <w:t xml:space="preserve">Decision trees (DT) are based on a non-parametric supervised learning method which is used for classification and regression. The goal of the method is to create a model that predicts the value of the target variable based on the study of simple decision rules that are derived from the characteristics of the data. The tree can be viewed as a piecewise constant approximation. </w:t>
      </w:r>
    </w:p>
    <w:p w14:paraId="18A407AE" w14:textId="77777777" w:rsidR="001E43C6" w:rsidRPr="001E43C6" w:rsidRDefault="001E43C6" w:rsidP="00EF541B">
      <w:pPr>
        <w:tabs>
          <w:tab w:val="left" w:pos="450"/>
        </w:tabs>
        <w:spacing w:after="0"/>
        <w:ind w:right="280" w:firstLine="425"/>
        <w:rPr>
          <w:rFonts w:ascii="Cambria" w:hAnsi="Cambria"/>
          <w:sz w:val="24"/>
          <w:lang w:val="en-US"/>
        </w:rPr>
      </w:pPr>
      <w:r w:rsidRPr="001E43C6">
        <w:rPr>
          <w:rFonts w:ascii="Cambria" w:hAnsi="Cambria"/>
          <w:sz w:val="24"/>
          <w:lang w:val="en-US"/>
        </w:rPr>
        <w:t>The deeper the tree, the more complex the decision rules and the fitter the model. Decision trees are used for both classification and regression problems.</w:t>
      </w:r>
    </w:p>
    <w:p w14:paraId="67C74C4A" w14:textId="77777777" w:rsidR="001E43C6" w:rsidRPr="001E43C6" w:rsidRDefault="001E43C6" w:rsidP="00EF541B">
      <w:pPr>
        <w:tabs>
          <w:tab w:val="left" w:pos="450"/>
        </w:tabs>
        <w:spacing w:after="0"/>
        <w:ind w:right="280" w:firstLine="425"/>
        <w:rPr>
          <w:rFonts w:ascii="Cambria" w:hAnsi="Cambria"/>
          <w:sz w:val="24"/>
          <w:lang w:val="en-US"/>
        </w:rPr>
      </w:pPr>
      <w:r w:rsidRPr="001E43C6">
        <w:rPr>
          <w:rFonts w:ascii="Cambria" w:hAnsi="Cambria"/>
          <w:sz w:val="24"/>
          <w:lang w:val="en-US"/>
        </w:rPr>
        <w:t xml:space="preserve">Understanding the Importance of Variables in the forests of random trees is presented in many works, including Louppe G. et al (Louppe G. et al, 2020). </w:t>
      </w:r>
    </w:p>
    <w:p w14:paraId="0ED98610" w14:textId="4BE09FDF" w:rsidR="001E43C6" w:rsidRDefault="001E43C6" w:rsidP="00EF541B">
      <w:pPr>
        <w:tabs>
          <w:tab w:val="left" w:pos="450"/>
        </w:tabs>
        <w:spacing w:after="0"/>
        <w:ind w:right="280" w:firstLine="426"/>
        <w:rPr>
          <w:rFonts w:ascii="Cambria" w:hAnsi="Cambria"/>
          <w:sz w:val="24"/>
          <w:lang w:val="en-US"/>
        </w:rPr>
      </w:pPr>
      <w:r w:rsidRPr="001E43C6">
        <w:rPr>
          <w:rFonts w:ascii="Cambria" w:hAnsi="Cambria"/>
          <w:sz w:val="24"/>
          <w:lang w:val="en-US"/>
        </w:rPr>
        <w:t xml:space="preserve">A binary classification (resp. regression) tree </w:t>
      </w:r>
      <w:r w:rsidRPr="001E43C6">
        <w:rPr>
          <w:sz w:val="24"/>
        </w:rPr>
        <w:t>(Breiman et al., 1984)</w:t>
      </w:r>
      <w:r w:rsidRPr="001E43C6">
        <w:t xml:space="preserve"> </w:t>
      </w:r>
      <w:r w:rsidRPr="001E43C6">
        <w:rPr>
          <w:rFonts w:ascii="Cambria" w:hAnsi="Cambria"/>
          <w:sz w:val="24"/>
          <w:lang w:val="en-US"/>
        </w:rPr>
        <w:t xml:space="preserve">is an input-output model represented by a tree structure T, from a random input vector </w:t>
      </w: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1</m:t>
            </m:r>
          </m:sub>
        </m:sSub>
      </m:oMath>
      <w:r w:rsidRPr="001E43C6">
        <w:rPr>
          <w:rFonts w:ascii="Cambria" w:hAnsi="Cambria"/>
          <w:sz w:val="24"/>
          <w:lang w:val="en-US"/>
        </w:rPr>
        <w:t>…</w:t>
      </w: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p</m:t>
            </m:r>
          </m:sub>
        </m:sSub>
      </m:oMath>
      <w:r w:rsidRPr="001E43C6">
        <w:rPr>
          <w:rFonts w:ascii="Cambria" w:hAnsi="Cambria"/>
          <w:sz w:val="24"/>
          <w:lang w:val="en-US"/>
        </w:rPr>
        <w:t xml:space="preserve">) taking its values in </w:t>
      </w: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1</m:t>
            </m:r>
          </m:sub>
        </m:sSub>
        <m:r>
          <w:rPr>
            <w:rFonts w:ascii="Cambria Math" w:hAnsi="Cambria Math"/>
            <w:sz w:val="24"/>
            <w:lang w:val="en-US"/>
          </w:rPr>
          <m:t>*</m:t>
        </m:r>
      </m:oMath>
      <w:r w:rsidRPr="001E43C6">
        <w:rPr>
          <w:rFonts w:ascii="Cambria" w:hAnsi="Cambria"/>
          <w:sz w:val="24"/>
          <w:lang w:val="en-US"/>
        </w:rPr>
        <w:t>…</w:t>
      </w:r>
      <m:oMath>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p</m:t>
            </m:r>
          </m:sub>
        </m:sSub>
      </m:oMath>
      <w:r w:rsidRPr="001E43C6">
        <w:rPr>
          <w:rFonts w:ascii="Cambria" w:hAnsi="Cambria"/>
          <w:sz w:val="24"/>
          <w:lang w:val="en-US"/>
        </w:rPr>
        <w:t xml:space="preserve">)=X  </w:t>
      </w:r>
      <w:r w:rsidRPr="001E43C6">
        <w:rPr>
          <w:rFonts w:ascii="Cambria" w:hAnsi="Cambria" w:hint="eastAsia"/>
          <w:sz w:val="24"/>
          <w:lang w:val="en-US"/>
        </w:rPr>
        <w:t xml:space="preserve">to a random output variable </w:t>
      </w:r>
      <m:oMath>
        <m:r>
          <w:rPr>
            <w:rFonts w:ascii="Cambria Math" w:hAnsi="Cambria Math"/>
            <w:sz w:val="24"/>
            <w:lang w:val="en-US"/>
          </w:rPr>
          <m:t xml:space="preserve">Y </m:t>
        </m:r>
      </m:oMath>
      <w:r w:rsidRPr="001E43C6">
        <w:rPr>
          <w:rFonts w:ascii="Cambria Math" w:hAnsi="Cambria Math"/>
          <w:sz w:val="24"/>
          <w:lang w:val="en-US"/>
        </w:rPr>
        <w:t>𝜖</w:t>
      </w:r>
      <w:r w:rsidRPr="001E43C6">
        <w:rPr>
          <w:rFonts w:ascii="Cambria" w:hAnsi="Cambria"/>
          <w:sz w:val="24"/>
          <w:lang w:val="en-US"/>
        </w:rPr>
        <w:t xml:space="preserve"> 𝛶</w:t>
      </w:r>
      <w:r w:rsidRPr="001E43C6">
        <w:rPr>
          <w:rFonts w:ascii="Cambria" w:hAnsi="Cambria" w:hint="eastAsia"/>
          <w:sz w:val="24"/>
          <w:lang w:val="en-US"/>
        </w:rPr>
        <w:t>.</w:t>
      </w:r>
      <w:r w:rsidRPr="001E43C6">
        <w:rPr>
          <w:rFonts w:ascii="Cambria" w:hAnsi="Cambria"/>
          <w:sz w:val="24"/>
          <w:lang w:val="en-US"/>
        </w:rPr>
        <w:t xml:space="preserve">  A tree is built from a learning sample of size N drawn from </w:t>
      </w:r>
      <m:oMath>
        <m:r>
          <w:rPr>
            <w:rFonts w:ascii="Cambria Math" w:hAnsi="Cambria Math"/>
            <w:sz w:val="24"/>
            <w:lang w:val="en-US"/>
          </w:rPr>
          <m:t>P(</m:t>
        </m:r>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1</m:t>
            </m:r>
          </m:sub>
        </m:sSub>
      </m:oMath>
      <w:r w:rsidRPr="001E43C6">
        <w:rPr>
          <w:rFonts w:ascii="Cambria" w:hAnsi="Cambria"/>
          <w:sz w:val="24"/>
          <w:lang w:val="en-US"/>
        </w:rPr>
        <w:t>…</w:t>
      </w:r>
      <m:oMath>
        <m:sSub>
          <m:sSubPr>
            <m:ctrlPr>
              <w:rPr>
                <w:rFonts w:ascii="Cambria Math" w:hAnsi="Cambria Math"/>
                <w:i/>
                <w:sz w:val="24"/>
                <w:lang w:val="en-US"/>
              </w:rPr>
            </m:ctrlPr>
          </m:sSubPr>
          <m:e>
            <m:r>
              <w:rPr>
                <w:rFonts w:ascii="Cambria Math" w:hAnsi="Cambria Math"/>
                <w:sz w:val="24"/>
                <w:lang w:val="en-US"/>
              </w:rPr>
              <m:t>X</m:t>
            </m:r>
          </m:e>
          <m:sub>
            <m:r>
              <w:rPr>
                <w:rFonts w:ascii="Cambria Math" w:hAnsi="Cambria Math"/>
                <w:sz w:val="24"/>
                <w:lang w:val="en-US"/>
              </w:rPr>
              <m:t>p</m:t>
            </m:r>
          </m:sub>
        </m:sSub>
        <m:r>
          <w:rPr>
            <w:rFonts w:ascii="Cambria Math" w:hAnsi="Cambria Math"/>
            <w:sz w:val="24"/>
            <w:lang w:val="en-US"/>
          </w:rPr>
          <m:t>, Y</m:t>
        </m:r>
      </m:oMath>
      <w:r w:rsidRPr="001E43C6">
        <w:rPr>
          <w:rFonts w:ascii="Cambria" w:hAnsi="Cambria"/>
          <w:sz w:val="24"/>
          <w:lang w:val="en-US"/>
        </w:rPr>
        <w:t xml:space="preserve">) using a recursive procedure which identifies at each node t the split </w:t>
      </w:r>
      <m:oMath>
        <m:sSub>
          <m:sSubPr>
            <m:ctrlPr>
              <w:rPr>
                <w:rFonts w:ascii="Cambria Math" w:hAnsi="Cambria Math"/>
                <w:i/>
                <w:sz w:val="24"/>
                <w:lang w:val="en-US"/>
              </w:rPr>
            </m:ctrlPr>
          </m:sSubPr>
          <m:e>
            <m:r>
              <w:rPr>
                <w:rFonts w:ascii="Cambria Math" w:hAnsi="Cambria Math"/>
                <w:sz w:val="24"/>
                <w:lang w:val="en-US"/>
              </w:rPr>
              <m:t>s</m:t>
            </m:r>
          </m:e>
          <m:sub>
            <m:r>
              <w:rPr>
                <w:rFonts w:ascii="Cambria Math" w:hAnsi="Cambria Math"/>
                <w:sz w:val="24"/>
                <w:lang w:val="en-US"/>
              </w:rPr>
              <m:t>t</m:t>
            </m:r>
          </m:sub>
        </m:sSub>
        <m:r>
          <w:rPr>
            <w:rFonts w:ascii="Cambria Math" w:hAnsi="Cambria Math"/>
            <w:sz w:val="24"/>
            <w:lang w:val="en-US"/>
          </w:rPr>
          <m:t>=</m:t>
        </m:r>
        <m:sSup>
          <m:sSupPr>
            <m:ctrlPr>
              <w:rPr>
                <w:rFonts w:ascii="Cambria Math" w:hAnsi="Cambria Math"/>
                <w:i/>
                <w:sz w:val="24"/>
                <w:lang w:val="en-US"/>
              </w:rPr>
            </m:ctrlPr>
          </m:sSupPr>
          <m:e>
            <m:r>
              <w:rPr>
                <w:rFonts w:ascii="Cambria Math" w:hAnsi="Cambria Math"/>
                <w:sz w:val="24"/>
                <w:lang w:val="en-US"/>
              </w:rPr>
              <m:t>s</m:t>
            </m:r>
          </m:e>
          <m:sup>
            <m:r>
              <w:rPr>
                <w:rFonts w:ascii="Cambria Math" w:hAnsi="Cambria Math"/>
                <w:sz w:val="24"/>
                <w:lang w:val="en-US"/>
              </w:rPr>
              <m:t>*</m:t>
            </m:r>
          </m:sup>
        </m:sSup>
      </m:oMath>
      <w:r w:rsidRPr="001E43C6">
        <w:rPr>
          <w:rFonts w:ascii="Cambria" w:hAnsi="Cambria"/>
          <w:sz w:val="24"/>
          <w:lang w:val="en-US"/>
        </w:rPr>
        <w:t xml:space="preserve">   For which the partition of the </w:t>
      </w:r>
      <m:oMath>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t</m:t>
            </m:r>
          </m:sub>
        </m:sSub>
      </m:oMath>
      <w:r w:rsidRPr="001E43C6">
        <w:rPr>
          <w:rFonts w:ascii="Cambria" w:hAnsi="Cambria"/>
          <w:sz w:val="24"/>
          <w:lang w:val="en-US"/>
        </w:rPr>
        <w:t xml:space="preserve"> node samples into </w:t>
      </w:r>
      <m:oMath>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L</m:t>
            </m:r>
          </m:sub>
        </m:sSub>
        <m:r>
          <w:rPr>
            <w:rFonts w:ascii="Cambria Math" w:hAnsi="Cambria Math"/>
            <w:sz w:val="24"/>
            <w:lang w:val="en-US"/>
          </w:rPr>
          <m:t xml:space="preserve"> </m:t>
        </m:r>
      </m:oMath>
      <w:r w:rsidRPr="001E43C6">
        <w:rPr>
          <w:rFonts w:ascii="Cambria" w:hAnsi="Cambria"/>
          <w:sz w:val="24"/>
          <w:lang w:val="en-US"/>
        </w:rPr>
        <w:t xml:space="preserve"> and </w:t>
      </w:r>
      <m:oMath>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R</m:t>
            </m:r>
          </m:sub>
        </m:sSub>
        <m:r>
          <w:rPr>
            <w:rFonts w:ascii="Cambria Math" w:hAnsi="Cambria Math"/>
            <w:sz w:val="24"/>
            <w:lang w:val="en-US"/>
          </w:rPr>
          <m:t xml:space="preserve"> </m:t>
        </m:r>
      </m:oMath>
      <w:r w:rsidRPr="001E43C6">
        <w:rPr>
          <w:rFonts w:ascii="Cambria" w:hAnsi="Cambria"/>
          <w:sz w:val="24"/>
          <w:lang w:val="en-US"/>
        </w:rPr>
        <w:t xml:space="preserve"> maximizes the decrease</w:t>
      </w:r>
      <w:r w:rsidRPr="001E43C6">
        <w:rPr>
          <w:rFonts w:ascii="Cambria" w:hAnsi="Cambria"/>
          <w:sz w:val="24"/>
          <w:lang w:val="en-US"/>
        </w:rPr>
        <w:cr/>
      </w:r>
    </w:p>
    <w:p w14:paraId="2E43BFAD" w14:textId="77777777" w:rsidR="001E43C6" w:rsidRPr="001E43C6" w:rsidRDefault="00CD6E3D" w:rsidP="00EF541B">
      <w:pPr>
        <w:tabs>
          <w:tab w:val="left" w:pos="450"/>
        </w:tabs>
        <w:spacing w:after="0"/>
        <w:ind w:right="280"/>
        <w:jc w:val="right"/>
        <w:rPr>
          <w:rFonts w:ascii="Cambria" w:hAnsi="Cambria"/>
          <w:sz w:val="24"/>
          <w:lang w:val="en-US"/>
        </w:rPr>
      </w:pPr>
      <m:oMath>
        <m:sSub>
          <m:sSubPr>
            <m:ctrlPr>
              <w:rPr>
                <w:rFonts w:ascii="Cambria Math" w:hAnsi="Cambria Math"/>
                <w:i/>
                <w:sz w:val="24"/>
                <w:lang w:val="en-US"/>
              </w:rPr>
            </m:ctrlPr>
          </m:sSubPr>
          <m:e>
            <m:r>
              <w:rPr>
                <w:rFonts w:ascii="Cambria Math" w:hAnsi="Cambria Math"/>
                <w:sz w:val="24"/>
                <w:lang w:val="en-US"/>
              </w:rPr>
              <m:t>∆</m:t>
            </m:r>
          </m:e>
          <m:sub>
            <m:r>
              <w:rPr>
                <w:rFonts w:ascii="Cambria Math" w:hAnsi="Cambria Math"/>
                <w:sz w:val="24"/>
                <w:lang w:val="en-US"/>
              </w:rPr>
              <m:t>i</m:t>
            </m:r>
          </m:sub>
        </m:sSub>
        <m:d>
          <m:dPr>
            <m:ctrlPr>
              <w:rPr>
                <w:rFonts w:ascii="Cambria Math" w:hAnsi="Cambria Math"/>
                <w:i/>
                <w:sz w:val="24"/>
                <w:lang w:val="en-US"/>
              </w:rPr>
            </m:ctrlPr>
          </m:dPr>
          <m:e>
            <m:r>
              <w:rPr>
                <w:rFonts w:ascii="Cambria Math" w:hAnsi="Cambria Math"/>
                <w:sz w:val="24"/>
                <w:lang w:val="en-US"/>
              </w:rPr>
              <m:t>s, t</m:t>
            </m:r>
          </m:e>
        </m:d>
        <m:r>
          <w:rPr>
            <w:rFonts w:ascii="Cambria Math" w:hAnsi="Cambria Math"/>
            <w:sz w:val="24"/>
            <w:lang w:val="en-US"/>
          </w:rPr>
          <m:t>= i</m:t>
        </m:r>
        <m:d>
          <m:dPr>
            <m:ctrlPr>
              <w:rPr>
                <w:rFonts w:ascii="Cambria Math" w:hAnsi="Cambria Math"/>
                <w:i/>
                <w:sz w:val="24"/>
                <w:lang w:val="en-US"/>
              </w:rPr>
            </m:ctrlPr>
          </m:dPr>
          <m:e>
            <m:r>
              <w:rPr>
                <w:rFonts w:ascii="Cambria Math" w:hAnsi="Cambria Math"/>
                <w:sz w:val="24"/>
                <w:lang w:val="en-US"/>
              </w:rPr>
              <m:t>t</m:t>
            </m:r>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L</m:t>
            </m:r>
          </m:sub>
        </m:sSub>
        <m:r>
          <w:rPr>
            <w:rFonts w:ascii="Cambria Math" w:hAnsi="Cambria Math"/>
            <w:sz w:val="24"/>
            <w:lang w:val="en-US"/>
          </w:rPr>
          <m:t>i</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L</m:t>
                </m:r>
              </m:sub>
            </m:sSub>
          </m:e>
        </m:d>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R</m:t>
            </m:r>
          </m:sub>
        </m:sSub>
        <m:r>
          <w:rPr>
            <w:rFonts w:ascii="Cambria Math" w:hAnsi="Cambria Math"/>
            <w:sz w:val="24"/>
            <w:lang w:val="en-US"/>
          </w:rPr>
          <m:t>i</m:t>
        </m:r>
        <m:d>
          <m:dPr>
            <m:ctrlPr>
              <w:rPr>
                <w:rFonts w:ascii="Cambria Math" w:hAnsi="Cambria Math"/>
                <w:i/>
                <w:sz w:val="24"/>
                <w:lang w:val="en-US"/>
              </w:rPr>
            </m:ctrlPr>
          </m:dPr>
          <m:e>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R</m:t>
                </m:r>
              </m:sub>
            </m:sSub>
          </m:e>
        </m:d>
      </m:oMath>
      <w:r w:rsidR="001E43C6" w:rsidRPr="001E43C6">
        <w:rPr>
          <w:rFonts w:ascii="Cambria" w:hAnsi="Cambria"/>
          <w:sz w:val="24"/>
          <w:lang w:val="en-US"/>
        </w:rPr>
        <w:t xml:space="preserve">,                                                (2) </w:t>
      </w:r>
    </w:p>
    <w:p w14:paraId="781D0ABD" w14:textId="77777777" w:rsidR="001E43C6" w:rsidRPr="001E43C6" w:rsidRDefault="001E43C6" w:rsidP="00EF541B">
      <w:pPr>
        <w:tabs>
          <w:tab w:val="left" w:pos="450"/>
        </w:tabs>
        <w:spacing w:after="0"/>
        <w:ind w:right="280"/>
        <w:jc w:val="right"/>
        <w:rPr>
          <w:rFonts w:ascii="Cambria" w:hAnsi="Cambria"/>
          <w:sz w:val="24"/>
          <w:lang w:val="en-US"/>
        </w:rPr>
      </w:pPr>
    </w:p>
    <w:p w14:paraId="0D31EC06" w14:textId="77777777" w:rsidR="001E43C6" w:rsidRPr="0094785A" w:rsidRDefault="001E43C6" w:rsidP="00EF541B">
      <w:pPr>
        <w:tabs>
          <w:tab w:val="left" w:pos="450"/>
        </w:tabs>
        <w:spacing w:after="0"/>
        <w:ind w:right="280"/>
        <w:rPr>
          <w:sz w:val="24"/>
        </w:rPr>
      </w:pPr>
      <w:r w:rsidRPr="001E43C6">
        <w:rPr>
          <w:sz w:val="24"/>
        </w:rPr>
        <w:lastRenderedPageBreak/>
        <w:t xml:space="preserve">of some impurity measure </w:t>
      </w:r>
      <w:proofErr w:type="spellStart"/>
      <w:r w:rsidRPr="001E43C6">
        <w:rPr>
          <w:i/>
          <w:sz w:val="24"/>
        </w:rPr>
        <w:t>i</w:t>
      </w:r>
      <w:proofErr w:type="spellEnd"/>
      <w:r w:rsidRPr="001E43C6">
        <w:rPr>
          <w:i/>
          <w:sz w:val="24"/>
        </w:rPr>
        <w:t>(t)</w:t>
      </w:r>
      <w:r w:rsidRPr="001E43C6">
        <w:rPr>
          <w:sz w:val="24"/>
        </w:rPr>
        <w:t xml:space="preserve"> (e.g., the Gini index, the Shannon entropy, or the variance of </w:t>
      </w:r>
      <w:r w:rsidRPr="001E43C6">
        <w:rPr>
          <w:i/>
          <w:sz w:val="24"/>
        </w:rPr>
        <w:t>Y</w:t>
      </w:r>
      <w:r w:rsidRPr="001E43C6">
        <w:rPr>
          <w:sz w:val="24"/>
        </w:rPr>
        <w:t xml:space="preserve"> ), and where </w:t>
      </w:r>
      <m:oMath>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L</m:t>
            </m:r>
          </m:sub>
        </m:sSub>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N</m:t>
            </m:r>
          </m:e>
          <m:sub>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L</m:t>
                </m:r>
              </m:sub>
            </m:sSub>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t</m:t>
            </m:r>
          </m:sub>
        </m:sSub>
      </m:oMath>
      <w:r w:rsidRPr="001E43C6">
        <w:rPr>
          <w:sz w:val="24"/>
        </w:rPr>
        <w:t xml:space="preserve"> and </w:t>
      </w:r>
      <m:oMath>
        <m:sSub>
          <m:sSubPr>
            <m:ctrlPr>
              <w:rPr>
                <w:rFonts w:ascii="Cambria Math" w:hAnsi="Cambria Math"/>
                <w:i/>
                <w:sz w:val="24"/>
                <w:lang w:val="en-US"/>
              </w:rPr>
            </m:ctrlPr>
          </m:sSubPr>
          <m:e>
            <m:r>
              <w:rPr>
                <w:rFonts w:ascii="Cambria Math" w:hAnsi="Cambria Math"/>
                <w:sz w:val="24"/>
                <w:lang w:val="en-US"/>
              </w:rPr>
              <m:t>p</m:t>
            </m:r>
          </m:e>
          <m:sub>
            <m:r>
              <w:rPr>
                <w:rFonts w:ascii="Cambria Math" w:hAnsi="Cambria Math"/>
                <w:sz w:val="24"/>
                <w:lang w:val="en-US"/>
              </w:rPr>
              <m:t>R</m:t>
            </m:r>
          </m:sub>
        </m:sSub>
        <m:r>
          <w:rPr>
            <w:rFonts w:ascii="Cambria Math" w:hAnsi="Cambria Math"/>
            <w:sz w:val="24"/>
            <w:lang w:val="en-US"/>
          </w:rPr>
          <m:t xml:space="preserve">= </m:t>
        </m:r>
        <m:sSub>
          <m:sSubPr>
            <m:ctrlPr>
              <w:rPr>
                <w:rFonts w:ascii="Cambria Math" w:hAnsi="Cambria Math"/>
                <w:i/>
                <w:sz w:val="24"/>
                <w:lang w:val="en-US"/>
              </w:rPr>
            </m:ctrlPr>
          </m:sSubPr>
          <m:e>
            <m:r>
              <w:rPr>
                <w:rFonts w:ascii="Cambria Math" w:hAnsi="Cambria Math"/>
                <w:sz w:val="24"/>
                <w:lang w:val="en-US"/>
              </w:rPr>
              <m:t>N</m:t>
            </m:r>
          </m:e>
          <m:sub>
            <m:sSub>
              <m:sSubPr>
                <m:ctrlPr>
                  <w:rPr>
                    <w:rFonts w:ascii="Cambria Math" w:hAnsi="Cambria Math"/>
                    <w:i/>
                    <w:sz w:val="24"/>
                    <w:lang w:val="en-US"/>
                  </w:rPr>
                </m:ctrlPr>
              </m:sSubPr>
              <m:e>
                <m:r>
                  <w:rPr>
                    <w:rFonts w:ascii="Cambria Math" w:hAnsi="Cambria Math"/>
                    <w:sz w:val="24"/>
                    <w:lang w:val="en-US"/>
                  </w:rPr>
                  <m:t>t</m:t>
                </m:r>
              </m:e>
              <m:sub>
                <m:r>
                  <w:rPr>
                    <w:rFonts w:ascii="Cambria Math" w:hAnsi="Cambria Math"/>
                    <w:sz w:val="24"/>
                    <w:lang w:val="en-US"/>
                  </w:rPr>
                  <m:t>R</m:t>
                </m:r>
              </m:sub>
            </m:sSub>
          </m:sub>
        </m:sSub>
        <m:r>
          <w:rPr>
            <w:rFonts w:ascii="Cambria Math" w:hAnsi="Cambria Math"/>
            <w:sz w:val="24"/>
            <w:lang w:val="en-US"/>
          </w:rPr>
          <m:t>/</m:t>
        </m:r>
        <m:sSub>
          <m:sSubPr>
            <m:ctrlPr>
              <w:rPr>
                <w:rFonts w:ascii="Cambria Math" w:hAnsi="Cambria Math"/>
                <w:i/>
                <w:sz w:val="24"/>
                <w:lang w:val="en-US"/>
              </w:rPr>
            </m:ctrlPr>
          </m:sSubPr>
          <m:e>
            <m:r>
              <w:rPr>
                <w:rFonts w:ascii="Cambria Math" w:hAnsi="Cambria Math"/>
                <w:sz w:val="24"/>
                <w:lang w:val="en-US"/>
              </w:rPr>
              <m:t>N</m:t>
            </m:r>
          </m:e>
          <m:sub>
            <m:r>
              <w:rPr>
                <w:rFonts w:ascii="Cambria Math" w:hAnsi="Cambria Math"/>
                <w:sz w:val="24"/>
                <w:lang w:val="en-US"/>
              </w:rPr>
              <m:t>t</m:t>
            </m:r>
          </m:sub>
        </m:sSub>
      </m:oMath>
      <w:r w:rsidRPr="001E43C6">
        <w:rPr>
          <w:sz w:val="24"/>
          <w:lang w:val="en-US"/>
        </w:rPr>
        <w:t xml:space="preserve">. </w:t>
      </w:r>
      <w:r w:rsidRPr="001E43C6">
        <w:rPr>
          <w:sz w:val="24"/>
        </w:rPr>
        <w:t>The construction of the tree stops , e.g., when nodes become pure in terms of Y or when all variables Xi are locally constant.</w:t>
      </w:r>
    </w:p>
    <w:p w14:paraId="5291503D" w14:textId="77777777" w:rsidR="004A7259" w:rsidRPr="004A7259" w:rsidRDefault="004A7259" w:rsidP="00EF541B">
      <w:pPr>
        <w:tabs>
          <w:tab w:val="left" w:pos="450"/>
        </w:tabs>
        <w:spacing w:after="0"/>
        <w:ind w:right="280"/>
        <w:rPr>
          <w:rFonts w:ascii="Cambria" w:hAnsi="Cambria"/>
          <w:sz w:val="24"/>
          <w:lang w:val="en-US"/>
        </w:rPr>
      </w:pPr>
    </w:p>
    <w:p w14:paraId="2BC02454" w14:textId="77777777" w:rsidR="00AA1C3B" w:rsidRPr="004A7259" w:rsidRDefault="00D324EB" w:rsidP="00EF541B">
      <w:pPr>
        <w:tabs>
          <w:tab w:val="left" w:pos="450"/>
        </w:tabs>
        <w:spacing w:after="0"/>
        <w:ind w:right="280"/>
        <w:rPr>
          <w:rFonts w:ascii="Cambria" w:hAnsi="Cambria"/>
          <w:b/>
          <w:bCs/>
          <w:iCs/>
          <w:sz w:val="24"/>
          <w:lang w:val="en-US"/>
        </w:rPr>
      </w:pPr>
      <w:r w:rsidRPr="00242108">
        <w:rPr>
          <w:rFonts w:ascii="Cambria" w:hAnsi="Cambria"/>
          <w:b/>
          <w:bCs/>
          <w:kern w:val="28"/>
          <w:sz w:val="24"/>
          <w:lang w:val="en-US"/>
        </w:rPr>
        <w:t>3</w:t>
      </w:r>
      <w:r w:rsidRPr="00242108">
        <w:rPr>
          <w:rFonts w:ascii="Cambria" w:hAnsi="Cambria"/>
          <w:b/>
          <w:bCs/>
          <w:kern w:val="28"/>
          <w:sz w:val="24"/>
        </w:rPr>
        <w:t>.</w:t>
      </w:r>
      <w:r w:rsidRPr="00242108">
        <w:rPr>
          <w:rFonts w:ascii="Cambria" w:hAnsi="Cambria"/>
          <w:b/>
          <w:bCs/>
          <w:kern w:val="28"/>
          <w:sz w:val="24"/>
        </w:rPr>
        <w:tab/>
      </w:r>
      <w:r w:rsidRPr="00242108">
        <w:rPr>
          <w:rFonts w:ascii="Cambria" w:hAnsi="Cambria"/>
          <w:b/>
          <w:bCs/>
          <w:iCs/>
          <w:sz w:val="24"/>
          <w:lang w:val="en-US"/>
        </w:rPr>
        <w:t>R</w:t>
      </w:r>
      <w:r w:rsidRPr="00242108">
        <w:rPr>
          <w:rFonts w:ascii="Cambria" w:hAnsi="Cambria"/>
          <w:b/>
          <w:bCs/>
          <w:iCs/>
          <w:sz w:val="24"/>
          <w:lang w:val="id-ID"/>
        </w:rPr>
        <w:t xml:space="preserve">esults </w:t>
      </w:r>
      <w:r w:rsidR="004A7259">
        <w:rPr>
          <w:rFonts w:ascii="Cambria" w:hAnsi="Cambria"/>
          <w:b/>
          <w:bCs/>
          <w:iCs/>
          <w:sz w:val="24"/>
          <w:lang w:val="en-US"/>
        </w:rPr>
        <w:t>and Discussion</w:t>
      </w:r>
    </w:p>
    <w:p w14:paraId="27079A95" w14:textId="0D74B63C" w:rsidR="001E43C6" w:rsidRDefault="004A7259" w:rsidP="00EF541B">
      <w:pPr>
        <w:tabs>
          <w:tab w:val="left" w:pos="450"/>
        </w:tabs>
        <w:spacing w:after="0"/>
        <w:ind w:right="280"/>
        <w:rPr>
          <w:rFonts w:ascii="Cambria" w:hAnsi="Cambria"/>
          <w:bCs/>
          <w:kern w:val="28"/>
          <w:sz w:val="24"/>
          <w:lang w:val="en-US"/>
        </w:rPr>
      </w:pPr>
      <w:r>
        <w:rPr>
          <w:rFonts w:ascii="Cambria" w:hAnsi="Cambria"/>
          <w:bCs/>
          <w:kern w:val="28"/>
          <w:sz w:val="24"/>
          <w:lang w:val="en-US"/>
        </w:rPr>
        <w:tab/>
      </w:r>
      <w:r w:rsidR="001E43C6" w:rsidRPr="001E43C6">
        <w:rPr>
          <w:rFonts w:ascii="Cambria" w:hAnsi="Cambria"/>
          <w:bCs/>
          <w:kern w:val="28"/>
          <w:sz w:val="24"/>
          <w:lang w:val="en-US"/>
        </w:rPr>
        <w:t>As a result of the study, forecast values of Russian GDP were obtained based on a cognitive model that includes the Decision Tree neural network and the VaR model. The artificial intelligence system - "Decision Tree" and the VaR model were formed based on the use of financial macroeconomic indicators obtained at the World Trade Statistics Review.</w:t>
      </w:r>
    </w:p>
    <w:p w14:paraId="517FD9B0" w14:textId="77777777" w:rsidR="00F818A5" w:rsidRPr="001E43C6" w:rsidRDefault="00F818A5" w:rsidP="00EF541B">
      <w:pPr>
        <w:tabs>
          <w:tab w:val="left" w:pos="450"/>
        </w:tabs>
        <w:spacing w:after="0"/>
        <w:ind w:right="280"/>
        <w:rPr>
          <w:rFonts w:ascii="Cambria" w:hAnsi="Cambria"/>
          <w:bCs/>
          <w:kern w:val="28"/>
          <w:sz w:val="24"/>
          <w:lang w:val="en-US"/>
        </w:rPr>
      </w:pPr>
    </w:p>
    <w:p w14:paraId="5A319449" w14:textId="77777777" w:rsidR="00F818A5" w:rsidRPr="00951B2F" w:rsidRDefault="00F818A5" w:rsidP="00EF541B">
      <w:pPr>
        <w:tabs>
          <w:tab w:val="left" w:pos="450"/>
        </w:tabs>
        <w:spacing w:after="0"/>
        <w:ind w:right="280"/>
        <w:rPr>
          <w:rFonts w:ascii="Cambria" w:hAnsi="Cambria"/>
          <w:i/>
          <w:sz w:val="24"/>
        </w:rPr>
      </w:pPr>
      <w:r w:rsidRPr="00D324EB">
        <w:rPr>
          <w:rFonts w:ascii="Cambria" w:hAnsi="Cambria"/>
          <w:i/>
          <w:sz w:val="24"/>
          <w:lang w:val="en-US"/>
        </w:rPr>
        <w:t>3</w:t>
      </w:r>
      <w:r w:rsidRPr="00D324EB">
        <w:rPr>
          <w:rFonts w:ascii="Cambria" w:hAnsi="Cambria"/>
          <w:i/>
          <w:sz w:val="24"/>
        </w:rPr>
        <w:t>.</w:t>
      </w:r>
      <w:r w:rsidRPr="00D324EB">
        <w:rPr>
          <w:rFonts w:ascii="Cambria" w:hAnsi="Cambria"/>
          <w:i/>
          <w:sz w:val="24"/>
          <w:lang w:val="en-US"/>
        </w:rPr>
        <w:t>1</w:t>
      </w:r>
      <w:r w:rsidRPr="00D324EB">
        <w:rPr>
          <w:rFonts w:ascii="Cambria" w:hAnsi="Cambria"/>
          <w:i/>
          <w:sz w:val="24"/>
        </w:rPr>
        <w:t xml:space="preserve">. </w:t>
      </w:r>
      <w:r w:rsidRPr="00D324EB">
        <w:rPr>
          <w:rFonts w:ascii="Cambria" w:hAnsi="Cambria"/>
          <w:i/>
          <w:sz w:val="24"/>
        </w:rPr>
        <w:tab/>
      </w:r>
      <w:r w:rsidRPr="00951B2F">
        <w:rPr>
          <w:rFonts w:ascii="Cambria" w:hAnsi="Cambria"/>
          <w:i/>
          <w:sz w:val="24"/>
        </w:rPr>
        <w:t>Сognitive model</w:t>
      </w:r>
    </w:p>
    <w:p w14:paraId="55E70F0F" w14:textId="77777777" w:rsidR="001E43C6" w:rsidRPr="001E43C6" w:rsidRDefault="001E43C6" w:rsidP="00EF541B">
      <w:pPr>
        <w:tabs>
          <w:tab w:val="left" w:pos="450"/>
        </w:tabs>
        <w:spacing w:after="0"/>
        <w:ind w:right="280"/>
        <w:rPr>
          <w:rFonts w:ascii="Cambria" w:hAnsi="Cambria"/>
          <w:bCs/>
          <w:kern w:val="28"/>
          <w:sz w:val="24"/>
          <w:lang w:val="en-US"/>
        </w:rPr>
      </w:pPr>
      <w:r w:rsidRPr="001E43C6">
        <w:rPr>
          <w:rFonts w:ascii="Cambria" w:hAnsi="Cambria"/>
          <w:bCs/>
          <w:kern w:val="28"/>
          <w:sz w:val="24"/>
          <w:lang w:val="en-US"/>
        </w:rPr>
        <w:tab/>
        <w:t>Results should be clear and concise. Show only the most significant or main findings of the research. Discussion must explore the significance of the results of the work. Adequate discussion or comparison of the current results to the previous similar published articles should be provided to show the positioning of the present research (if available).</w:t>
      </w:r>
    </w:p>
    <w:p w14:paraId="1C39A05F" w14:textId="77777777" w:rsidR="001E43C6" w:rsidRPr="001E43C6" w:rsidRDefault="001E43C6" w:rsidP="00EF541B">
      <w:pPr>
        <w:tabs>
          <w:tab w:val="left" w:pos="450"/>
        </w:tabs>
        <w:spacing w:after="0"/>
        <w:ind w:right="280"/>
        <w:rPr>
          <w:rFonts w:ascii="Cambria" w:hAnsi="Cambria"/>
          <w:bCs/>
          <w:kern w:val="28"/>
          <w:sz w:val="24"/>
          <w:lang w:val="en-US"/>
        </w:rPr>
      </w:pPr>
      <w:r w:rsidRPr="001E43C6">
        <w:rPr>
          <w:rFonts w:ascii="Cambria" w:hAnsi="Cambria"/>
          <w:bCs/>
          <w:kern w:val="28"/>
          <w:sz w:val="24"/>
          <w:lang w:val="en-US"/>
        </w:rPr>
        <w:tab/>
        <w:t>To form a cognitive map and conduct a scenario analysis, it is necessary to select criteria for evaluating the effectiveness of the Russian financial market, which should act as the peaks of the map being created. The solution to this problem will require a search for different approaches to the very concept of financial market efficiency and indicators of its assessment.  According to Paul Trejo (M.A. from California State University Dominguez Hills) semantics is the study of meaning and relationships between the world, the human mind. (Trejo, 2021).</w:t>
      </w:r>
    </w:p>
    <w:p w14:paraId="69CA21E5" w14:textId="77777777" w:rsidR="001E43C6" w:rsidRPr="001E43C6" w:rsidRDefault="001E43C6" w:rsidP="00EF541B">
      <w:pPr>
        <w:tabs>
          <w:tab w:val="left" w:pos="450"/>
        </w:tabs>
        <w:spacing w:after="0"/>
        <w:ind w:right="280"/>
        <w:rPr>
          <w:rFonts w:ascii="Cambria" w:hAnsi="Cambria"/>
          <w:bCs/>
          <w:kern w:val="28"/>
          <w:sz w:val="24"/>
          <w:lang w:val="en-US"/>
        </w:rPr>
      </w:pPr>
      <w:r w:rsidRPr="001E43C6">
        <w:rPr>
          <w:rFonts w:ascii="Cambria" w:hAnsi="Cambria"/>
          <w:bCs/>
          <w:kern w:val="28"/>
          <w:sz w:val="24"/>
          <w:lang w:val="en-US"/>
        </w:rPr>
        <w:t>There are several classes of relationships: ancestral relationships; relationship "whole - part"; synonymy and antonymy; logical relationships; functional relationships; attribute relationships; quantitative relationship; spatial relationships; temporal relationships; linguistic relations. Much knowledge can be represented in the form of hierarchical structures.</w:t>
      </w:r>
    </w:p>
    <w:p w14:paraId="0A832FAD" w14:textId="7E22DCF8" w:rsidR="001E43C6" w:rsidRPr="009F0650" w:rsidRDefault="001E43C6" w:rsidP="00EF541B">
      <w:pPr>
        <w:tabs>
          <w:tab w:val="left" w:pos="450"/>
        </w:tabs>
        <w:spacing w:after="0"/>
        <w:ind w:right="280" w:firstLine="426"/>
        <w:rPr>
          <w:rFonts w:ascii="Cambria" w:hAnsi="Cambria"/>
          <w:bCs/>
          <w:kern w:val="28"/>
          <w:sz w:val="24"/>
        </w:rPr>
      </w:pPr>
      <w:r w:rsidRPr="001E43C6">
        <w:rPr>
          <w:rFonts w:ascii="Cambria" w:hAnsi="Cambria"/>
          <w:bCs/>
          <w:kern w:val="28"/>
          <w:sz w:val="24"/>
          <w:lang w:val="en-US"/>
        </w:rPr>
        <w:t xml:space="preserve">It seems appropriate to use an approach that involves the use of a semantic model of knowledge representation regarding the sustainability of the economy in order to forecast GDP based on the AI system and the VaR model. The developed cognitive model of economic sustainability is based on the approach proposed by A.V. Matokhina with </w:t>
      </w:r>
      <w:r w:rsidR="00E466BE">
        <w:rPr>
          <w:rFonts w:ascii="Cambria" w:hAnsi="Cambria"/>
          <w:bCs/>
          <w:kern w:val="28"/>
          <w:sz w:val="24"/>
          <w:lang w:val="en-US"/>
        </w:rPr>
        <w:t xml:space="preserve">a team of authors </w:t>
      </w:r>
      <w:r w:rsidR="009F0650" w:rsidRPr="001E43C6">
        <w:rPr>
          <w:rFonts w:ascii="Cambria" w:hAnsi="Cambria"/>
          <w:bCs/>
          <w:kern w:val="28"/>
          <w:sz w:val="24"/>
          <w:lang w:val="en-US"/>
        </w:rPr>
        <w:t>(Matokhina, 2015).</w:t>
      </w:r>
    </w:p>
    <w:p w14:paraId="37C7122E" w14:textId="5E7EC8F7" w:rsidR="004A7259" w:rsidRDefault="001E43C6" w:rsidP="0030223F">
      <w:pPr>
        <w:tabs>
          <w:tab w:val="left" w:pos="450"/>
        </w:tabs>
        <w:spacing w:after="0"/>
        <w:ind w:right="280" w:firstLine="426"/>
        <w:rPr>
          <w:rFonts w:ascii="Cambria" w:hAnsi="Cambria"/>
          <w:bCs/>
          <w:kern w:val="28"/>
          <w:sz w:val="24"/>
          <w:lang w:val="en-US"/>
        </w:rPr>
      </w:pPr>
      <w:r w:rsidRPr="001E43C6">
        <w:rPr>
          <w:rFonts w:ascii="Cambria" w:hAnsi="Cambria"/>
          <w:bCs/>
          <w:kern w:val="28"/>
          <w:sz w:val="24"/>
          <w:lang w:val="en-US"/>
        </w:rPr>
        <w:t xml:space="preserve">Graphviz is a package of utilities developed by AT&amp;T labs for automatically visualizing graphs given as a textual description. The package is distributed with open source files and works on all operating systems, including Windows, Linux/Unix, Mac OS. The code script in the Dot language is shown in Figure </w:t>
      </w:r>
      <w:r w:rsidR="0030223F" w:rsidRPr="0030223F">
        <w:rPr>
          <w:rFonts w:ascii="Cambria" w:hAnsi="Cambria"/>
          <w:bCs/>
          <w:kern w:val="28"/>
          <w:sz w:val="24"/>
          <w:lang w:val="en-US"/>
        </w:rPr>
        <w:t>2</w:t>
      </w:r>
      <w:r w:rsidR="0030223F">
        <w:rPr>
          <w:rFonts w:ascii="Cambria" w:hAnsi="Cambria"/>
          <w:bCs/>
          <w:kern w:val="28"/>
          <w:sz w:val="24"/>
          <w:lang w:val="en-US"/>
        </w:rPr>
        <w:t>.</w:t>
      </w:r>
      <w:r w:rsidR="004A7259">
        <w:rPr>
          <w:rFonts w:ascii="Cambria" w:hAnsi="Cambria"/>
          <w:bCs/>
          <w:kern w:val="28"/>
          <w:sz w:val="24"/>
          <w:lang w:val="en-US"/>
        </w:rPr>
        <w:tab/>
      </w:r>
    </w:p>
    <w:tbl>
      <w:tblPr>
        <w:tblStyle w:val="afd"/>
        <w:tblW w:w="0" w:type="auto"/>
        <w:tblLook w:val="04A0" w:firstRow="1" w:lastRow="0" w:firstColumn="1" w:lastColumn="0" w:noHBand="0" w:noVBand="1"/>
      </w:tblPr>
      <w:tblGrid>
        <w:gridCol w:w="9234"/>
      </w:tblGrid>
      <w:tr w:rsidR="00F818A5" w14:paraId="3C6C4B0F" w14:textId="77777777" w:rsidTr="00EC011C">
        <w:tc>
          <w:tcPr>
            <w:tcW w:w="9234" w:type="dxa"/>
          </w:tcPr>
          <w:p w14:paraId="42A07AB0" w14:textId="77777777" w:rsidR="00F818A5" w:rsidRPr="00FE0CB0" w:rsidRDefault="00F818A5" w:rsidP="00EC011C">
            <w:pPr>
              <w:tabs>
                <w:tab w:val="left" w:pos="450"/>
              </w:tabs>
              <w:spacing w:after="0"/>
              <w:rPr>
                <w:rFonts w:ascii="Cambria" w:hAnsi="Cambria"/>
                <w:bCs/>
                <w:kern w:val="28"/>
                <w:lang w:val="en-US"/>
              </w:rPr>
            </w:pPr>
            <w:r w:rsidRPr="00FE0CB0">
              <w:rPr>
                <w:rFonts w:ascii="Cambria" w:hAnsi="Cambria"/>
                <w:bCs/>
                <w:kern w:val="28"/>
                <w:lang w:val="en-US"/>
              </w:rPr>
              <w:t>digraph G {</w:t>
            </w:r>
          </w:p>
          <w:p w14:paraId="218F8230" w14:textId="77777777" w:rsidR="00F818A5" w:rsidRPr="00FE0CB0" w:rsidRDefault="00F818A5" w:rsidP="00EC011C">
            <w:pPr>
              <w:tabs>
                <w:tab w:val="left" w:pos="450"/>
              </w:tabs>
              <w:spacing w:after="0"/>
              <w:rPr>
                <w:rFonts w:ascii="Cambria" w:hAnsi="Cambria"/>
                <w:bCs/>
                <w:kern w:val="28"/>
                <w:lang w:val="en-US"/>
              </w:rPr>
            </w:pPr>
            <w:r w:rsidRPr="00FE0CB0">
              <w:rPr>
                <w:rFonts w:ascii="Cambria" w:hAnsi="Cambria"/>
                <w:bCs/>
                <w:kern w:val="28"/>
                <w:lang w:val="en-US"/>
              </w:rPr>
              <w:t>Algorithm_AI_forecasting_GDP-&gt;Data_collection-&gt;Dataset_AI_systems-&gt;Architecture_AI_systems-&gt;Neuroprediction_GDP;</w:t>
            </w:r>
          </w:p>
          <w:p w14:paraId="19823385" w14:textId="77777777" w:rsidR="00F818A5" w:rsidRPr="00FE0CB0" w:rsidRDefault="00F818A5" w:rsidP="00EC011C">
            <w:pPr>
              <w:tabs>
                <w:tab w:val="left" w:pos="450"/>
              </w:tabs>
              <w:spacing w:after="0"/>
              <w:rPr>
                <w:rFonts w:ascii="Cambria" w:hAnsi="Cambria"/>
                <w:bCs/>
                <w:kern w:val="28"/>
                <w:lang w:val="en-US"/>
              </w:rPr>
            </w:pPr>
            <w:r w:rsidRPr="00FE0CB0">
              <w:rPr>
                <w:rFonts w:ascii="Cambria" w:hAnsi="Cambria"/>
                <w:bCs/>
                <w:kern w:val="28"/>
                <w:lang w:val="en-US"/>
              </w:rPr>
              <w:t>Dataset_AI_systems -&gt; Data_collection;</w:t>
            </w:r>
          </w:p>
          <w:p w14:paraId="32FF451E" w14:textId="77777777" w:rsidR="00F818A5" w:rsidRPr="00FE0CB0" w:rsidRDefault="00F818A5" w:rsidP="00EC011C">
            <w:pPr>
              <w:tabs>
                <w:tab w:val="left" w:pos="450"/>
              </w:tabs>
              <w:spacing w:after="0"/>
              <w:rPr>
                <w:rFonts w:ascii="Cambria" w:hAnsi="Cambria"/>
                <w:bCs/>
                <w:kern w:val="28"/>
                <w:lang w:val="en-US"/>
              </w:rPr>
            </w:pPr>
            <w:r w:rsidRPr="00FE0CB0">
              <w:rPr>
                <w:rFonts w:ascii="Cambria" w:hAnsi="Cambria"/>
                <w:bCs/>
                <w:kern w:val="28"/>
                <w:lang w:val="en-US"/>
              </w:rPr>
              <w:t>Architecture_AI_systems-&gt;Dataset_AI_systems;</w:t>
            </w:r>
          </w:p>
          <w:p w14:paraId="060B5489" w14:textId="77777777" w:rsidR="00F818A5" w:rsidRPr="00FE0CB0" w:rsidRDefault="00F818A5" w:rsidP="00EC011C">
            <w:pPr>
              <w:tabs>
                <w:tab w:val="left" w:pos="450"/>
              </w:tabs>
              <w:spacing w:after="0"/>
              <w:rPr>
                <w:rFonts w:ascii="Cambria" w:hAnsi="Cambria"/>
                <w:bCs/>
                <w:kern w:val="28"/>
                <w:lang w:val="en-US"/>
              </w:rPr>
            </w:pPr>
            <w:r w:rsidRPr="00FE0CB0">
              <w:rPr>
                <w:rFonts w:ascii="Cambria" w:hAnsi="Cambria"/>
                <w:bCs/>
                <w:kern w:val="28"/>
                <w:lang w:val="en-US"/>
              </w:rPr>
              <w:t>Error_level-&gt;Dataset_AI_of the system;</w:t>
            </w:r>
          </w:p>
          <w:p w14:paraId="7BB6CDEE" w14:textId="77777777" w:rsidR="00F818A5" w:rsidRPr="00FE0CB0" w:rsidRDefault="00F818A5" w:rsidP="00EC011C">
            <w:pPr>
              <w:tabs>
                <w:tab w:val="left" w:pos="450"/>
              </w:tabs>
              <w:spacing w:after="0"/>
              <w:rPr>
                <w:rFonts w:ascii="Cambria" w:hAnsi="Cambria"/>
                <w:bCs/>
                <w:kern w:val="28"/>
                <w:lang w:val="en-US"/>
              </w:rPr>
            </w:pPr>
            <w:r w:rsidRPr="00FE0CB0">
              <w:rPr>
                <w:rFonts w:ascii="Cambria" w:hAnsi="Cambria"/>
                <w:bCs/>
                <w:kern w:val="28"/>
                <w:lang w:val="en-US"/>
              </w:rPr>
              <w:t>Neuroforecast_GDP-&gt;Level_error;</w:t>
            </w:r>
          </w:p>
          <w:p w14:paraId="2F070C36" w14:textId="77777777" w:rsidR="00F818A5" w:rsidRDefault="00F818A5" w:rsidP="00EC011C">
            <w:pPr>
              <w:tabs>
                <w:tab w:val="left" w:pos="450"/>
              </w:tabs>
              <w:spacing w:after="0"/>
              <w:rPr>
                <w:rFonts w:ascii="Cambria" w:hAnsi="Cambria"/>
                <w:bCs/>
                <w:kern w:val="28"/>
                <w:sz w:val="24"/>
                <w:lang w:val="en-US"/>
              </w:rPr>
            </w:pPr>
            <w:r w:rsidRPr="00FE0CB0">
              <w:rPr>
                <w:rFonts w:ascii="Cambria" w:hAnsi="Cambria"/>
                <w:bCs/>
                <w:kern w:val="28"/>
                <w:lang w:val="en-US"/>
              </w:rPr>
              <w:t>Error_level-&gt;AI_syst</w:t>
            </w:r>
            <w:r>
              <w:rPr>
                <w:rFonts w:ascii="Cambria" w:hAnsi="Cambria"/>
                <w:bCs/>
                <w:kern w:val="28"/>
                <w:lang w:val="en-US"/>
              </w:rPr>
              <w:t>em_architecture</w:t>
            </w:r>
            <w:r w:rsidRPr="00FE0CB0">
              <w:rPr>
                <w:rFonts w:ascii="Cambria" w:hAnsi="Cambria"/>
                <w:bCs/>
                <w:kern w:val="28"/>
                <w:lang w:val="en-US"/>
              </w:rPr>
              <w:t>}</w:t>
            </w:r>
          </w:p>
        </w:tc>
      </w:tr>
    </w:tbl>
    <w:p w14:paraId="6F9E8A02" w14:textId="71BA6725" w:rsidR="00F818A5" w:rsidRPr="00F818A5" w:rsidRDefault="00F818A5" w:rsidP="004A7259">
      <w:pPr>
        <w:tabs>
          <w:tab w:val="left" w:pos="450"/>
        </w:tabs>
        <w:spacing w:after="0"/>
        <w:rPr>
          <w:rFonts w:ascii="Cambria" w:hAnsi="Cambria"/>
          <w:bCs/>
          <w:kern w:val="28"/>
          <w:sz w:val="24"/>
        </w:rPr>
      </w:pPr>
    </w:p>
    <w:p w14:paraId="59019CB3" w14:textId="77777777" w:rsidR="00F818A5" w:rsidRPr="00F818A5" w:rsidRDefault="00F818A5" w:rsidP="00EF541B">
      <w:pPr>
        <w:tabs>
          <w:tab w:val="left" w:pos="450"/>
        </w:tabs>
        <w:spacing w:after="0"/>
        <w:ind w:right="280"/>
        <w:rPr>
          <w:rFonts w:ascii="Cambria" w:hAnsi="Cambria"/>
          <w:bCs/>
          <w:kern w:val="28"/>
          <w:sz w:val="24"/>
          <w:lang w:val="en-US"/>
        </w:rPr>
      </w:pPr>
      <w:r w:rsidRPr="00F818A5">
        <w:rPr>
          <w:rFonts w:ascii="Cambria" w:hAnsi="Cambria"/>
          <w:b/>
          <w:bCs/>
          <w:kern w:val="28"/>
          <w:sz w:val="24"/>
          <w:lang w:val="en-US"/>
        </w:rPr>
        <w:t>Figure 2</w:t>
      </w:r>
      <w:r w:rsidRPr="00F818A5">
        <w:rPr>
          <w:rFonts w:ascii="Cambria" w:hAnsi="Cambria"/>
          <w:bCs/>
          <w:kern w:val="28"/>
          <w:sz w:val="24"/>
          <w:lang w:val="en-US"/>
        </w:rPr>
        <w:t xml:space="preserve"> Code script in the Dot language of the semantic model of knowledge representation</w:t>
      </w:r>
    </w:p>
    <w:p w14:paraId="677F811A" w14:textId="77777777" w:rsidR="00F818A5" w:rsidRDefault="00F818A5" w:rsidP="00EF541B">
      <w:pPr>
        <w:tabs>
          <w:tab w:val="left" w:pos="450"/>
        </w:tabs>
        <w:spacing w:after="0"/>
        <w:ind w:right="280"/>
        <w:rPr>
          <w:rFonts w:ascii="Cambria" w:hAnsi="Cambria"/>
          <w:bCs/>
          <w:kern w:val="28"/>
          <w:sz w:val="24"/>
          <w:lang w:val="en-US"/>
        </w:rPr>
      </w:pPr>
    </w:p>
    <w:p w14:paraId="1713E6D6" w14:textId="32114712" w:rsidR="00F818A5" w:rsidRDefault="00F818A5" w:rsidP="00EF541B">
      <w:pPr>
        <w:tabs>
          <w:tab w:val="left" w:pos="450"/>
        </w:tabs>
        <w:spacing w:after="0"/>
        <w:ind w:right="280" w:firstLine="426"/>
        <w:rPr>
          <w:rFonts w:ascii="Cambria" w:hAnsi="Cambria"/>
          <w:bCs/>
          <w:kern w:val="28"/>
          <w:sz w:val="24"/>
          <w:lang w:val="en-US"/>
        </w:rPr>
      </w:pPr>
      <w:r w:rsidRPr="00F818A5">
        <w:rPr>
          <w:rFonts w:ascii="Cambria" w:hAnsi="Cambria"/>
          <w:bCs/>
          <w:kern w:val="28"/>
          <w:sz w:val="24"/>
          <w:lang w:val="en-US"/>
        </w:rPr>
        <w:lastRenderedPageBreak/>
        <w:t>The main program of the package is "dot", an automatic visualizer of directed graphs, which takes a text file with the graph structure as input, and generates a graph as a graphic, vector or text file as output.</w:t>
      </w:r>
      <w:r w:rsidR="009F0650">
        <w:rPr>
          <w:rFonts w:ascii="Cambria" w:hAnsi="Cambria"/>
          <w:bCs/>
          <w:kern w:val="28"/>
          <w:sz w:val="24"/>
          <w:lang w:val="en-US"/>
        </w:rPr>
        <w:t xml:space="preserve"> </w:t>
      </w:r>
      <w:r w:rsidRPr="00F818A5">
        <w:rPr>
          <w:rFonts w:ascii="Cambria" w:hAnsi="Cambria"/>
          <w:bCs/>
          <w:kern w:val="28"/>
          <w:sz w:val="24"/>
          <w:lang w:val="en-US"/>
        </w:rPr>
        <w:t>The archive with the program contains the file bin/gvedit.exe. As a result of execution, a dialog box appears with the ability to edit the dot file and view the resulting semantic network.</w:t>
      </w:r>
      <w:r w:rsidR="009F0650">
        <w:rPr>
          <w:rFonts w:ascii="Cambria" w:hAnsi="Cambria"/>
          <w:bCs/>
          <w:kern w:val="28"/>
          <w:sz w:val="24"/>
          <w:lang w:val="en-US"/>
        </w:rPr>
        <w:t xml:space="preserve"> </w:t>
      </w:r>
      <w:r w:rsidRPr="00F818A5">
        <w:rPr>
          <w:rFonts w:ascii="Cambria" w:hAnsi="Cambria"/>
          <w:bCs/>
          <w:kern w:val="28"/>
          <w:sz w:val="24"/>
          <w:lang w:val="en-US"/>
        </w:rPr>
        <w:t>DOT is a graph description language. A graph described in the DOT language is a text file with a .gv or .dot extension in a format that is understandable to a person and a processing program. Below is a visualization of the process of forming a semantic model for representing knowledge about GDP neuroprediction using graphs (Figure 3).</w:t>
      </w:r>
    </w:p>
    <w:p w14:paraId="7F311B89" w14:textId="77777777" w:rsidR="00077D18" w:rsidRDefault="00077D18" w:rsidP="00EF541B">
      <w:pPr>
        <w:tabs>
          <w:tab w:val="left" w:pos="450"/>
        </w:tabs>
        <w:spacing w:after="0"/>
        <w:ind w:right="280" w:firstLine="426"/>
        <w:rPr>
          <w:rFonts w:ascii="Cambria" w:hAnsi="Cambria"/>
          <w:bCs/>
          <w:kern w:val="28"/>
          <w:sz w:val="24"/>
          <w:lang w:val="en-US"/>
        </w:rPr>
      </w:pPr>
    </w:p>
    <w:p w14:paraId="4433C897" w14:textId="5525A508" w:rsidR="00F818A5" w:rsidRDefault="00F818A5" w:rsidP="00F818A5">
      <w:pPr>
        <w:tabs>
          <w:tab w:val="left" w:pos="450"/>
        </w:tabs>
        <w:spacing w:after="0"/>
        <w:ind w:firstLine="426"/>
        <w:jc w:val="center"/>
        <w:rPr>
          <w:rFonts w:ascii="Cambria" w:hAnsi="Cambria"/>
          <w:bCs/>
          <w:kern w:val="28"/>
          <w:sz w:val="24"/>
          <w:lang w:val="en-US"/>
        </w:rPr>
      </w:pPr>
      <w:r w:rsidRPr="004757CE">
        <w:rPr>
          <w:noProof/>
          <w:lang w:val="ru-RU" w:eastAsia="ru-RU"/>
        </w:rPr>
        <w:drawing>
          <wp:inline distT="0" distB="0" distL="0" distR="0" wp14:anchorId="2038F6C7" wp14:editId="213FDFA9">
            <wp:extent cx="3191853" cy="4632385"/>
            <wp:effectExtent l="0" t="0" r="8890" b="0"/>
            <wp:docPr id="19" name="Рисунок 19" descr="D:\Cloud\2022ЭЭЭ_Scopus(10)_РИНЦ(free)(DTI-2022)_состоится 28 октября 2022 г. в Институте экономики УрО РАН_Екатеринбург_ _ _  _\Cognitive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Cloud\2022ЭЭЭ_Scopus(10)_РИНЦ(free)(DTI-2022)_состоится 28 октября 2022 г. в Институте экономики УрО РАН_Екатеринбург_ _ _  _\Cognitive_mode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91037" cy="4776332"/>
                    </a:xfrm>
                    <a:prstGeom prst="rect">
                      <a:avLst/>
                    </a:prstGeom>
                    <a:noFill/>
                    <a:ln>
                      <a:noFill/>
                    </a:ln>
                  </pic:spPr>
                </pic:pic>
              </a:graphicData>
            </a:graphic>
          </wp:inline>
        </w:drawing>
      </w:r>
    </w:p>
    <w:p w14:paraId="1B5C42F9" w14:textId="55119D86" w:rsidR="00F818A5" w:rsidRDefault="00F818A5" w:rsidP="00F818A5">
      <w:pPr>
        <w:tabs>
          <w:tab w:val="left" w:pos="450"/>
        </w:tabs>
        <w:spacing w:after="0"/>
        <w:ind w:firstLine="426"/>
        <w:rPr>
          <w:rFonts w:ascii="Cambria" w:hAnsi="Cambria"/>
          <w:bCs/>
          <w:kern w:val="28"/>
          <w:sz w:val="24"/>
          <w:lang w:val="en-US"/>
        </w:rPr>
      </w:pPr>
    </w:p>
    <w:p w14:paraId="7432C1E9" w14:textId="77777777" w:rsidR="00F818A5" w:rsidRPr="00F818A5" w:rsidRDefault="00F818A5" w:rsidP="00F818A5">
      <w:pPr>
        <w:tabs>
          <w:tab w:val="left" w:pos="450"/>
        </w:tabs>
        <w:spacing w:after="0"/>
        <w:rPr>
          <w:rFonts w:ascii="Cambria" w:hAnsi="Cambria"/>
          <w:bCs/>
          <w:kern w:val="28"/>
          <w:sz w:val="24"/>
          <w:lang w:val="en-US"/>
        </w:rPr>
      </w:pPr>
      <w:r w:rsidRPr="00F818A5">
        <w:rPr>
          <w:rFonts w:ascii="Cambria" w:hAnsi="Cambria"/>
          <w:b/>
          <w:bCs/>
          <w:kern w:val="28"/>
          <w:sz w:val="24"/>
          <w:lang w:val="en-US"/>
        </w:rPr>
        <w:t>Figure 3</w:t>
      </w:r>
      <w:r w:rsidRPr="00F818A5">
        <w:rPr>
          <w:rFonts w:ascii="Cambria" w:hAnsi="Cambria"/>
          <w:bCs/>
          <w:kern w:val="28"/>
          <w:sz w:val="24"/>
          <w:lang w:val="en-US"/>
        </w:rPr>
        <w:t xml:space="preserve"> Сognitive model of Russian GDP</w:t>
      </w:r>
    </w:p>
    <w:p w14:paraId="3B630D3D" w14:textId="77777777" w:rsidR="00F818A5" w:rsidRDefault="00F818A5" w:rsidP="00F818A5">
      <w:pPr>
        <w:tabs>
          <w:tab w:val="left" w:pos="450"/>
        </w:tabs>
        <w:spacing w:after="0"/>
        <w:ind w:firstLine="426"/>
        <w:rPr>
          <w:rFonts w:ascii="Cambria" w:hAnsi="Cambria"/>
          <w:bCs/>
          <w:kern w:val="28"/>
          <w:sz w:val="24"/>
          <w:lang w:val="en-US"/>
        </w:rPr>
      </w:pPr>
    </w:p>
    <w:p w14:paraId="1FD4F4F9" w14:textId="37726A41" w:rsidR="00F818A5" w:rsidRDefault="00F818A5" w:rsidP="00EF541B">
      <w:pPr>
        <w:tabs>
          <w:tab w:val="left" w:pos="450"/>
        </w:tabs>
        <w:spacing w:after="0"/>
        <w:ind w:right="280" w:firstLine="426"/>
        <w:rPr>
          <w:rFonts w:ascii="Cambria" w:hAnsi="Cambria"/>
          <w:bCs/>
          <w:kern w:val="28"/>
          <w:sz w:val="24"/>
          <w:lang w:val="en-US"/>
        </w:rPr>
      </w:pPr>
      <w:r w:rsidRPr="00F818A5">
        <w:rPr>
          <w:rFonts w:ascii="Cambria" w:hAnsi="Cambria"/>
          <w:bCs/>
          <w:kern w:val="28"/>
          <w:sz w:val="24"/>
          <w:lang w:val="en-US"/>
        </w:rPr>
        <w:t>The cognitive model allows you to optimize the factors, the architecture of the Decision Tree and compare the forecast values of GDP with the results of the forecast of the VaR model.</w:t>
      </w:r>
    </w:p>
    <w:p w14:paraId="0A23D2EC" w14:textId="77777777" w:rsidR="00F818A5" w:rsidRDefault="00F818A5" w:rsidP="00EF541B">
      <w:pPr>
        <w:tabs>
          <w:tab w:val="left" w:pos="450"/>
        </w:tabs>
        <w:spacing w:after="0"/>
        <w:ind w:right="280" w:firstLine="426"/>
        <w:rPr>
          <w:rFonts w:ascii="Cambria" w:hAnsi="Cambria"/>
          <w:bCs/>
          <w:kern w:val="28"/>
          <w:sz w:val="24"/>
          <w:lang w:val="en-US"/>
        </w:rPr>
      </w:pPr>
    </w:p>
    <w:p w14:paraId="4D4DC900" w14:textId="77777777" w:rsidR="00F818A5" w:rsidRPr="00FE0CB0" w:rsidRDefault="00F818A5" w:rsidP="00EF541B">
      <w:pPr>
        <w:tabs>
          <w:tab w:val="left" w:pos="630"/>
        </w:tabs>
        <w:snapToGrid w:val="0"/>
        <w:spacing w:before="60" w:after="0"/>
        <w:ind w:right="280"/>
        <w:rPr>
          <w:rFonts w:ascii="Cambria" w:hAnsi="Cambria"/>
          <w:bCs/>
          <w:i/>
          <w:kern w:val="28"/>
          <w:sz w:val="24"/>
          <w:lang w:val="en-US"/>
        </w:rPr>
      </w:pPr>
      <w:r w:rsidRPr="00FE0CB0">
        <w:rPr>
          <w:rFonts w:ascii="Cambria" w:hAnsi="Cambria"/>
          <w:bCs/>
          <w:i/>
          <w:kern w:val="28"/>
          <w:sz w:val="24"/>
          <w:lang w:val="en-US"/>
        </w:rPr>
        <w:t>3.2.</w:t>
      </w:r>
      <w:r w:rsidRPr="00FE0CB0">
        <w:rPr>
          <w:rFonts w:ascii="Cambria" w:hAnsi="Cambria"/>
          <w:bCs/>
          <w:i/>
          <w:kern w:val="28"/>
          <w:sz w:val="24"/>
          <w:lang w:val="en-US"/>
        </w:rPr>
        <w:tab/>
        <w:t>AI-system "Decision Tree"</w:t>
      </w:r>
    </w:p>
    <w:p w14:paraId="580A4DE3" w14:textId="143A5DF5" w:rsidR="00F818A5" w:rsidRDefault="004770A2" w:rsidP="003039BD">
      <w:pPr>
        <w:tabs>
          <w:tab w:val="left" w:pos="450"/>
        </w:tabs>
        <w:spacing w:after="0"/>
        <w:ind w:right="280" w:firstLine="426"/>
        <w:rPr>
          <w:rFonts w:ascii="Cambria" w:hAnsi="Cambria"/>
          <w:bCs/>
          <w:kern w:val="28"/>
          <w:sz w:val="24"/>
          <w:lang w:val="en-US"/>
        </w:rPr>
      </w:pPr>
      <w:r w:rsidRPr="004770A2">
        <w:rPr>
          <w:rFonts w:ascii="Cambria" w:hAnsi="Cambria"/>
          <w:bCs/>
          <w:kern w:val="28"/>
          <w:sz w:val="24"/>
          <w:lang w:val="en-US"/>
        </w:rPr>
        <w:t xml:space="preserve">The following factors were included in the Decision Tree neural network model: key rate; Growth of bank assets, %; Share of overdue loans, %; GDP, billion rubles; RTS Index; dollar exchange rate; Investments in fixed assets in GDP, %; Share of robots on the exchange,%; Capital outflow, billion dollars; Risk (VaR); banking system, billion rubles; Bank assets, trln. rub.; GDP forecast, billion rubles. </w:t>
      </w:r>
    </w:p>
    <w:p w14:paraId="4510C72B" w14:textId="521B171F" w:rsidR="004770A2" w:rsidRDefault="004770A2" w:rsidP="00EF541B">
      <w:pPr>
        <w:tabs>
          <w:tab w:val="left" w:pos="450"/>
        </w:tabs>
        <w:spacing w:after="0"/>
        <w:ind w:left="-284" w:right="280" w:firstLine="284"/>
        <w:rPr>
          <w:rFonts w:ascii="Cambria" w:hAnsi="Cambria"/>
          <w:bCs/>
          <w:kern w:val="28"/>
          <w:sz w:val="24"/>
          <w:lang w:val="en-US"/>
        </w:rPr>
      </w:pPr>
      <w:r w:rsidRPr="004770A2">
        <w:rPr>
          <w:rFonts w:ascii="Cambria" w:hAnsi="Cambria"/>
          <w:bCs/>
          <w:kern w:val="28"/>
          <w:sz w:val="24"/>
          <w:lang w:val="en-US"/>
        </w:rPr>
        <w:lastRenderedPageBreak/>
        <w:t xml:space="preserve">The AI-model Decision Tree was successfully formed on the Deductor platform. The neural network graph is shown below </w:t>
      </w:r>
      <w:r w:rsidRPr="006D2376">
        <w:rPr>
          <w:rFonts w:ascii="Cambria" w:hAnsi="Cambria"/>
          <w:bCs/>
          <w:kern w:val="28"/>
          <w:sz w:val="24"/>
          <w:highlight w:val="yellow"/>
          <w:lang w:val="en-US"/>
        </w:rPr>
        <w:t xml:space="preserve">(Figure </w:t>
      </w:r>
      <w:r w:rsidR="006D2376" w:rsidRPr="006D2376">
        <w:rPr>
          <w:rFonts w:ascii="Cambria" w:hAnsi="Cambria"/>
          <w:bCs/>
          <w:kern w:val="28"/>
          <w:sz w:val="24"/>
          <w:highlight w:val="yellow"/>
          <w:lang w:val="en-US"/>
        </w:rPr>
        <w:t>4</w:t>
      </w:r>
      <w:r w:rsidRPr="006D2376">
        <w:rPr>
          <w:rFonts w:ascii="Cambria" w:hAnsi="Cambria"/>
          <w:bCs/>
          <w:kern w:val="28"/>
          <w:sz w:val="24"/>
          <w:highlight w:val="yellow"/>
          <w:lang w:val="en-US"/>
        </w:rPr>
        <w:t>).</w:t>
      </w:r>
    </w:p>
    <w:p w14:paraId="6C4299C6" w14:textId="50351C50" w:rsidR="004770A2" w:rsidRDefault="004770A2" w:rsidP="004770A2">
      <w:pPr>
        <w:tabs>
          <w:tab w:val="left" w:pos="450"/>
        </w:tabs>
        <w:spacing w:after="0"/>
        <w:rPr>
          <w:rFonts w:ascii="Cambria" w:hAnsi="Cambria"/>
          <w:bCs/>
          <w:kern w:val="28"/>
          <w:sz w:val="24"/>
          <w:lang w:val="en-US"/>
        </w:rPr>
      </w:pPr>
    </w:p>
    <w:p w14:paraId="7195C32F" w14:textId="04BD6828" w:rsidR="004770A2" w:rsidRPr="004770A2" w:rsidRDefault="004770A2" w:rsidP="00A22BE3">
      <w:pPr>
        <w:tabs>
          <w:tab w:val="left" w:pos="450"/>
        </w:tabs>
        <w:spacing w:after="0"/>
        <w:ind w:left="-284"/>
        <w:rPr>
          <w:rFonts w:ascii="Cambria" w:hAnsi="Cambria"/>
          <w:bCs/>
          <w:kern w:val="28"/>
          <w:sz w:val="24"/>
          <w:lang w:val="en-US"/>
        </w:rPr>
      </w:pPr>
      <w:r w:rsidRPr="009703B0">
        <w:rPr>
          <w:rFonts w:ascii="Cambria" w:hAnsi="Cambria"/>
          <w:bCs/>
          <w:noProof/>
          <w:kern w:val="28"/>
          <w:sz w:val="24"/>
          <w:lang w:val="ru-RU" w:eastAsia="ru-RU"/>
        </w:rPr>
        <w:drawing>
          <wp:inline distT="0" distB="0" distL="0" distR="0" wp14:anchorId="71516660" wp14:editId="77CEC856">
            <wp:extent cx="6142056" cy="1504950"/>
            <wp:effectExtent l="0" t="0" r="0" b="0"/>
            <wp:docPr id="4" name="Рисунок 4" descr="D:\Cloud\2022ЭЭЭ_Scopus(10)_РИНЦ(free)(DTI-2022)_состоится 28 октября 2022 г. в Институте экономики УрО РАН_Екатеринбург_ _ _  _\Whot_if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Cloud\2022ЭЭЭ_Scopus(10)_РИНЦ(free)(DTI-2022)_состоится 28 октября 2022 г. в Институте экономики УрО РАН_Екатеринбург_ _ _  _\Whot_if_e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45086" cy="1505692"/>
                    </a:xfrm>
                    <a:prstGeom prst="rect">
                      <a:avLst/>
                    </a:prstGeom>
                    <a:noFill/>
                    <a:ln>
                      <a:noFill/>
                    </a:ln>
                  </pic:spPr>
                </pic:pic>
              </a:graphicData>
            </a:graphic>
          </wp:inline>
        </w:drawing>
      </w:r>
    </w:p>
    <w:p w14:paraId="2A4DCCDF" w14:textId="77777777" w:rsidR="004770A2" w:rsidRDefault="004770A2" w:rsidP="004770A2">
      <w:pPr>
        <w:tabs>
          <w:tab w:val="left" w:pos="450"/>
        </w:tabs>
        <w:spacing w:after="0"/>
        <w:rPr>
          <w:rFonts w:ascii="Cambria" w:hAnsi="Cambria"/>
          <w:bCs/>
          <w:kern w:val="28"/>
          <w:sz w:val="24"/>
          <w:lang w:val="en-US"/>
        </w:rPr>
      </w:pPr>
    </w:p>
    <w:p w14:paraId="46FAF3E2" w14:textId="10E513A9" w:rsidR="004770A2" w:rsidRDefault="004770A2" w:rsidP="00EF541B">
      <w:pPr>
        <w:tabs>
          <w:tab w:val="left" w:pos="450"/>
        </w:tabs>
        <w:spacing w:after="0"/>
        <w:ind w:right="280"/>
        <w:rPr>
          <w:rFonts w:ascii="Cambria" w:hAnsi="Cambria"/>
          <w:bCs/>
          <w:kern w:val="28"/>
          <w:sz w:val="24"/>
          <w:lang w:val="en-US"/>
        </w:rPr>
      </w:pPr>
      <w:r w:rsidRPr="006D2376">
        <w:rPr>
          <w:rFonts w:ascii="Cambria" w:hAnsi="Cambria"/>
          <w:b/>
          <w:bCs/>
          <w:kern w:val="28"/>
          <w:sz w:val="24"/>
          <w:highlight w:val="yellow"/>
          <w:lang w:val="en-US"/>
        </w:rPr>
        <w:t xml:space="preserve">Figure </w:t>
      </w:r>
      <w:r w:rsidR="006D2376" w:rsidRPr="006D2376">
        <w:rPr>
          <w:rFonts w:ascii="Cambria" w:hAnsi="Cambria"/>
          <w:b/>
          <w:bCs/>
          <w:kern w:val="28"/>
          <w:sz w:val="24"/>
          <w:highlight w:val="yellow"/>
          <w:lang w:val="en-US"/>
        </w:rPr>
        <w:t>4</w:t>
      </w:r>
      <w:r w:rsidRPr="004770A2">
        <w:rPr>
          <w:rFonts w:ascii="Cambria" w:hAnsi="Cambria"/>
          <w:bCs/>
          <w:kern w:val="28"/>
          <w:sz w:val="24"/>
          <w:lang w:val="en-US"/>
        </w:rPr>
        <w:t xml:space="preserve"> The structure of Neural network “Decision Tree”</w:t>
      </w:r>
    </w:p>
    <w:p w14:paraId="25AFC5C4" w14:textId="77777777" w:rsidR="004770A2" w:rsidRPr="004770A2" w:rsidRDefault="004770A2" w:rsidP="00EF541B">
      <w:pPr>
        <w:tabs>
          <w:tab w:val="left" w:pos="450"/>
        </w:tabs>
        <w:spacing w:after="0"/>
        <w:ind w:right="280"/>
        <w:rPr>
          <w:rFonts w:ascii="Cambria" w:hAnsi="Cambria"/>
          <w:bCs/>
          <w:kern w:val="28"/>
          <w:sz w:val="24"/>
          <w:lang w:val="en-US"/>
        </w:rPr>
      </w:pPr>
    </w:p>
    <w:p w14:paraId="64FE52A3" w14:textId="4DF1B345" w:rsidR="004770A2" w:rsidRDefault="004770A2" w:rsidP="00EF541B">
      <w:pPr>
        <w:tabs>
          <w:tab w:val="left" w:pos="450"/>
        </w:tabs>
        <w:spacing w:after="0"/>
        <w:ind w:right="280" w:firstLine="426"/>
        <w:rPr>
          <w:rFonts w:ascii="Cambria" w:hAnsi="Cambria"/>
          <w:bCs/>
          <w:kern w:val="28"/>
          <w:sz w:val="24"/>
          <w:lang w:val="en-US"/>
        </w:rPr>
      </w:pPr>
      <w:r w:rsidRPr="004770A2">
        <w:rPr>
          <w:rFonts w:ascii="Cambria" w:hAnsi="Cambria"/>
          <w:bCs/>
          <w:kern w:val="28"/>
          <w:sz w:val="24"/>
          <w:lang w:val="en-US"/>
        </w:rPr>
        <w:t>Using the "What-if" function, the forecast value of Russia's GDP for the next year was obtained. The forecast value of Russia's GDP will be from 109241.5 billion rubles by 2023. With an actual value of 131,015 billion rubles, the neural network predicts a decrease in GDP by $21,773.5 billion, or 16.6%.</w:t>
      </w:r>
    </w:p>
    <w:p w14:paraId="4C7744A5" w14:textId="77777777" w:rsidR="004770A2" w:rsidRDefault="004770A2" w:rsidP="00EF541B">
      <w:pPr>
        <w:tabs>
          <w:tab w:val="left" w:pos="450"/>
        </w:tabs>
        <w:spacing w:after="0"/>
        <w:ind w:right="280" w:firstLine="426"/>
        <w:rPr>
          <w:rFonts w:ascii="Cambria" w:hAnsi="Cambria"/>
          <w:bCs/>
          <w:kern w:val="28"/>
          <w:sz w:val="24"/>
          <w:lang w:val="en-US"/>
        </w:rPr>
      </w:pPr>
    </w:p>
    <w:p w14:paraId="21A77A47" w14:textId="1486F9AD" w:rsidR="004770A2" w:rsidRDefault="004770A2" w:rsidP="003039BD">
      <w:pPr>
        <w:tabs>
          <w:tab w:val="left" w:pos="450"/>
        </w:tabs>
        <w:spacing w:after="0"/>
        <w:ind w:right="280"/>
        <w:rPr>
          <w:rFonts w:ascii="Cambria" w:hAnsi="Cambria"/>
          <w:bCs/>
          <w:i/>
          <w:kern w:val="28"/>
          <w:sz w:val="24"/>
          <w:lang w:val="en-US"/>
        </w:rPr>
      </w:pPr>
      <w:r w:rsidRPr="004770A2">
        <w:rPr>
          <w:rFonts w:ascii="Cambria" w:hAnsi="Cambria"/>
          <w:bCs/>
          <w:i/>
          <w:kern w:val="28"/>
          <w:sz w:val="24"/>
          <w:lang w:val="en-US"/>
        </w:rPr>
        <w:t>3.3</w:t>
      </w:r>
      <w:r w:rsidRPr="004770A2">
        <w:rPr>
          <w:rFonts w:ascii="Cambria" w:hAnsi="Cambria"/>
          <w:bCs/>
          <w:i/>
          <w:kern w:val="28"/>
          <w:sz w:val="24"/>
          <w:lang w:val="en-US"/>
        </w:rPr>
        <w:tab/>
        <w:t xml:space="preserve">VAR </w:t>
      </w:r>
      <w:r>
        <w:rPr>
          <w:rFonts w:ascii="Cambria" w:hAnsi="Cambria"/>
          <w:bCs/>
          <w:i/>
          <w:kern w:val="28"/>
          <w:sz w:val="24"/>
          <w:lang w:val="en-US"/>
        </w:rPr>
        <w:t>–</w:t>
      </w:r>
      <w:r w:rsidRPr="004770A2">
        <w:rPr>
          <w:rFonts w:ascii="Cambria" w:hAnsi="Cambria"/>
          <w:bCs/>
          <w:i/>
          <w:kern w:val="28"/>
          <w:sz w:val="24"/>
          <w:lang w:val="en-US"/>
        </w:rPr>
        <w:t xml:space="preserve"> Model</w:t>
      </w:r>
    </w:p>
    <w:p w14:paraId="310AAAB2" w14:textId="04A6C023" w:rsidR="004770A2" w:rsidRDefault="004770A2" w:rsidP="00EF541B">
      <w:pPr>
        <w:tabs>
          <w:tab w:val="left" w:pos="450"/>
        </w:tabs>
        <w:spacing w:after="0"/>
        <w:ind w:right="280" w:firstLine="426"/>
        <w:rPr>
          <w:rFonts w:ascii="Cambria" w:hAnsi="Cambria"/>
          <w:bCs/>
          <w:kern w:val="28"/>
          <w:sz w:val="24"/>
          <w:lang w:val="en-US"/>
        </w:rPr>
      </w:pPr>
      <w:r w:rsidRPr="004770A2">
        <w:rPr>
          <w:rFonts w:ascii="Cambria" w:hAnsi="Cambria"/>
          <w:bCs/>
          <w:kern w:val="28"/>
          <w:sz w:val="24"/>
          <w:lang w:val="en-US"/>
        </w:rPr>
        <w:t>VAR models are often used to predict systems of interrelated time series and to analyze the dynamic impact of disturbances (shocks) on a system of selected indicators. The initial parameters of the variation series of the value of Russian GDP for use in forecasting using the VaR model are presented below (Table 2).</w:t>
      </w:r>
    </w:p>
    <w:p w14:paraId="1C2F0286" w14:textId="4B63F824" w:rsidR="00A22BE3" w:rsidRDefault="00A22BE3" w:rsidP="004770A2">
      <w:pPr>
        <w:tabs>
          <w:tab w:val="left" w:pos="450"/>
        </w:tabs>
        <w:spacing w:after="0"/>
        <w:ind w:firstLine="426"/>
        <w:rPr>
          <w:rFonts w:ascii="Cambria" w:hAnsi="Cambria"/>
          <w:bCs/>
          <w:kern w:val="28"/>
          <w:sz w:val="24"/>
          <w:lang w:val="en-US"/>
        </w:rPr>
      </w:pPr>
    </w:p>
    <w:p w14:paraId="6374235D" w14:textId="505C8239" w:rsidR="004770A2" w:rsidRDefault="004770A2" w:rsidP="00A22BE3">
      <w:pPr>
        <w:tabs>
          <w:tab w:val="left" w:pos="450"/>
        </w:tabs>
        <w:spacing w:after="0"/>
        <w:rPr>
          <w:rFonts w:ascii="Cambria" w:hAnsi="Cambria"/>
          <w:bCs/>
          <w:kern w:val="28"/>
          <w:sz w:val="24"/>
          <w:lang w:val="en-US"/>
        </w:rPr>
      </w:pPr>
      <w:r w:rsidRPr="00A22BE3">
        <w:rPr>
          <w:rFonts w:ascii="Cambria" w:hAnsi="Cambria"/>
          <w:b/>
          <w:bCs/>
          <w:kern w:val="28"/>
          <w:sz w:val="24"/>
          <w:lang w:val="en-US"/>
        </w:rPr>
        <w:t>Table 2</w:t>
      </w:r>
      <w:r w:rsidR="00A22BE3">
        <w:rPr>
          <w:rFonts w:ascii="Cambria" w:hAnsi="Cambria"/>
          <w:bCs/>
          <w:kern w:val="28"/>
          <w:sz w:val="24"/>
          <w:lang w:val="en-US"/>
        </w:rPr>
        <w:t xml:space="preserve"> </w:t>
      </w:r>
      <w:r w:rsidRPr="004770A2">
        <w:rPr>
          <w:rFonts w:ascii="Cambria" w:hAnsi="Cambria"/>
          <w:bCs/>
          <w:kern w:val="28"/>
          <w:sz w:val="24"/>
          <w:lang w:val="en-US"/>
        </w:rPr>
        <w:t>The initial parameters of the variation series of the value of Russian GDP</w:t>
      </w:r>
    </w:p>
    <w:tbl>
      <w:tblPr>
        <w:tblStyle w:val="afd"/>
        <w:tblW w:w="9516" w:type="dxa"/>
        <w:tblLook w:val="04A0" w:firstRow="1" w:lastRow="0" w:firstColumn="1" w:lastColumn="0" w:noHBand="0" w:noVBand="1"/>
      </w:tblPr>
      <w:tblGrid>
        <w:gridCol w:w="795"/>
        <w:gridCol w:w="1114"/>
        <w:gridCol w:w="1419"/>
        <w:gridCol w:w="802"/>
        <w:gridCol w:w="1087"/>
        <w:gridCol w:w="1044"/>
        <w:gridCol w:w="896"/>
        <w:gridCol w:w="993"/>
        <w:gridCol w:w="1366"/>
      </w:tblGrid>
      <w:tr w:rsidR="00A22BE3" w:rsidRPr="0006777D" w14:paraId="56806E06" w14:textId="77777777" w:rsidTr="00EF541B">
        <w:trPr>
          <w:trHeight w:val="300"/>
        </w:trPr>
        <w:tc>
          <w:tcPr>
            <w:tcW w:w="795" w:type="dxa"/>
            <w:noWrap/>
            <w:hideMark/>
          </w:tcPr>
          <w:p w14:paraId="0DF9306D" w14:textId="77777777" w:rsidR="004770A2" w:rsidRDefault="004770A2" w:rsidP="00EC011C">
            <w:pPr>
              <w:pStyle w:val="PostHeadPara"/>
              <w:rPr>
                <w:rFonts w:asciiTheme="majorHAnsi" w:hAnsiTheme="majorHAnsi"/>
                <w:sz w:val="22"/>
              </w:rPr>
            </w:pPr>
          </w:p>
          <w:p w14:paraId="2BC37015"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Year</w:t>
            </w:r>
          </w:p>
        </w:tc>
        <w:tc>
          <w:tcPr>
            <w:tcW w:w="1114" w:type="dxa"/>
            <w:noWrap/>
            <w:hideMark/>
          </w:tcPr>
          <w:p w14:paraId="03AFAF19"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GDP, billion rubles</w:t>
            </w:r>
          </w:p>
        </w:tc>
        <w:tc>
          <w:tcPr>
            <w:tcW w:w="1419" w:type="dxa"/>
            <w:noWrap/>
            <w:hideMark/>
          </w:tcPr>
          <w:p w14:paraId="05DD00EB"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Change, %</w:t>
            </w:r>
          </w:p>
        </w:tc>
        <w:tc>
          <w:tcPr>
            <w:tcW w:w="802" w:type="dxa"/>
            <w:noWrap/>
            <w:hideMark/>
          </w:tcPr>
          <w:p w14:paraId="0A78D8A5" w14:textId="77777777" w:rsidR="004770A2" w:rsidRDefault="004770A2" w:rsidP="00EC011C">
            <w:pPr>
              <w:pStyle w:val="PostHeadPara"/>
              <w:rPr>
                <w:rFonts w:asciiTheme="majorHAnsi" w:hAnsiTheme="majorHAnsi"/>
                <w:sz w:val="22"/>
              </w:rPr>
            </w:pPr>
          </w:p>
          <w:p w14:paraId="591BD7EE"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Year</w:t>
            </w:r>
          </w:p>
        </w:tc>
        <w:tc>
          <w:tcPr>
            <w:tcW w:w="1087" w:type="dxa"/>
            <w:noWrap/>
            <w:hideMark/>
          </w:tcPr>
          <w:p w14:paraId="1C37A2D3"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GDP, billion rubles</w:t>
            </w:r>
          </w:p>
        </w:tc>
        <w:tc>
          <w:tcPr>
            <w:tcW w:w="1044" w:type="dxa"/>
            <w:noWrap/>
            <w:hideMark/>
          </w:tcPr>
          <w:p w14:paraId="1D6E3892"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Change, %</w:t>
            </w:r>
          </w:p>
        </w:tc>
        <w:tc>
          <w:tcPr>
            <w:tcW w:w="896" w:type="dxa"/>
            <w:noWrap/>
            <w:hideMark/>
          </w:tcPr>
          <w:p w14:paraId="287CEA32" w14:textId="77777777" w:rsidR="004770A2" w:rsidRDefault="004770A2" w:rsidP="00EC011C">
            <w:pPr>
              <w:pStyle w:val="PostHeadPara"/>
              <w:rPr>
                <w:rFonts w:asciiTheme="majorHAnsi" w:hAnsiTheme="majorHAnsi"/>
                <w:sz w:val="22"/>
              </w:rPr>
            </w:pPr>
          </w:p>
          <w:p w14:paraId="5B3139A2"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Year</w:t>
            </w:r>
          </w:p>
        </w:tc>
        <w:tc>
          <w:tcPr>
            <w:tcW w:w="993" w:type="dxa"/>
            <w:noWrap/>
            <w:hideMark/>
          </w:tcPr>
          <w:p w14:paraId="0A7CE1E8"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GDP, billion rubles</w:t>
            </w:r>
          </w:p>
        </w:tc>
        <w:tc>
          <w:tcPr>
            <w:tcW w:w="1366" w:type="dxa"/>
            <w:noWrap/>
            <w:hideMark/>
          </w:tcPr>
          <w:p w14:paraId="73F343E4" w14:textId="77777777" w:rsidR="004770A2" w:rsidRPr="0006777D" w:rsidRDefault="004770A2" w:rsidP="00EC011C">
            <w:pPr>
              <w:pStyle w:val="PostHeadPara"/>
              <w:rPr>
                <w:rFonts w:asciiTheme="majorHAnsi" w:hAnsiTheme="majorHAnsi"/>
                <w:sz w:val="22"/>
              </w:rPr>
            </w:pPr>
            <w:r w:rsidRPr="0006777D">
              <w:rPr>
                <w:rFonts w:asciiTheme="majorHAnsi" w:hAnsiTheme="majorHAnsi"/>
                <w:sz w:val="22"/>
              </w:rPr>
              <w:t>Change, %</w:t>
            </w:r>
          </w:p>
        </w:tc>
      </w:tr>
      <w:tr w:rsidR="00A22BE3" w:rsidRPr="0006777D" w14:paraId="5CF8637A" w14:textId="77777777" w:rsidTr="00EF541B">
        <w:trPr>
          <w:trHeight w:val="300"/>
        </w:trPr>
        <w:tc>
          <w:tcPr>
            <w:tcW w:w="795" w:type="dxa"/>
            <w:noWrap/>
            <w:hideMark/>
          </w:tcPr>
          <w:p w14:paraId="1809C11C" w14:textId="77777777" w:rsidR="004770A2" w:rsidRPr="0006777D" w:rsidRDefault="004770A2" w:rsidP="00A22BE3">
            <w:pPr>
              <w:pStyle w:val="PostHeadPara"/>
              <w:ind w:left="426" w:hanging="426"/>
              <w:rPr>
                <w:rFonts w:asciiTheme="majorHAnsi" w:hAnsiTheme="majorHAnsi"/>
                <w:sz w:val="22"/>
              </w:rPr>
            </w:pPr>
            <w:r w:rsidRPr="0006777D">
              <w:rPr>
                <w:rFonts w:asciiTheme="majorHAnsi" w:hAnsiTheme="majorHAnsi"/>
                <w:sz w:val="22"/>
              </w:rPr>
              <w:t>2021</w:t>
            </w:r>
          </w:p>
        </w:tc>
        <w:tc>
          <w:tcPr>
            <w:tcW w:w="1114" w:type="dxa"/>
            <w:noWrap/>
            <w:hideMark/>
          </w:tcPr>
          <w:p w14:paraId="49421C59"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131015</w:t>
            </w:r>
          </w:p>
        </w:tc>
        <w:tc>
          <w:tcPr>
            <w:tcW w:w="1419" w:type="dxa"/>
            <w:noWrap/>
            <w:hideMark/>
          </w:tcPr>
          <w:p w14:paraId="08465F9F"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0,220842</w:t>
            </w:r>
          </w:p>
        </w:tc>
        <w:tc>
          <w:tcPr>
            <w:tcW w:w="802" w:type="dxa"/>
            <w:noWrap/>
            <w:hideMark/>
          </w:tcPr>
          <w:p w14:paraId="0ECF0FB6"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2017</w:t>
            </w:r>
          </w:p>
        </w:tc>
        <w:tc>
          <w:tcPr>
            <w:tcW w:w="1087" w:type="dxa"/>
            <w:noWrap/>
            <w:hideMark/>
          </w:tcPr>
          <w:p w14:paraId="389A6E64" w14:textId="6F8D79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91843</w:t>
            </w:r>
            <w:r w:rsidR="00A22BE3">
              <w:rPr>
                <w:rFonts w:asciiTheme="majorHAnsi" w:hAnsiTheme="majorHAnsi"/>
                <w:sz w:val="22"/>
              </w:rPr>
              <w:t>.</w:t>
            </w:r>
            <w:r w:rsidRPr="0006777D">
              <w:rPr>
                <w:rFonts w:asciiTheme="majorHAnsi" w:hAnsiTheme="majorHAnsi"/>
                <w:sz w:val="22"/>
              </w:rPr>
              <w:t>2</w:t>
            </w:r>
          </w:p>
        </w:tc>
        <w:tc>
          <w:tcPr>
            <w:tcW w:w="1044" w:type="dxa"/>
            <w:noWrap/>
            <w:hideMark/>
          </w:tcPr>
          <w:p w14:paraId="1789D1CA" w14:textId="6C46612F"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07273</w:t>
            </w:r>
          </w:p>
        </w:tc>
        <w:tc>
          <w:tcPr>
            <w:tcW w:w="896" w:type="dxa"/>
            <w:noWrap/>
            <w:hideMark/>
          </w:tcPr>
          <w:p w14:paraId="1D41F599"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2013</w:t>
            </w:r>
          </w:p>
        </w:tc>
        <w:tc>
          <w:tcPr>
            <w:tcW w:w="993" w:type="dxa"/>
            <w:noWrap/>
            <w:hideMark/>
          </w:tcPr>
          <w:p w14:paraId="06779F70" w14:textId="333D49D0"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72985</w:t>
            </w:r>
            <w:r w:rsidR="00A22BE3">
              <w:rPr>
                <w:rFonts w:asciiTheme="majorHAnsi" w:hAnsiTheme="majorHAnsi"/>
                <w:sz w:val="22"/>
              </w:rPr>
              <w:t>.</w:t>
            </w:r>
            <w:r w:rsidRPr="0006777D">
              <w:rPr>
                <w:rFonts w:asciiTheme="majorHAnsi" w:hAnsiTheme="majorHAnsi"/>
                <w:sz w:val="22"/>
              </w:rPr>
              <w:t>7</w:t>
            </w:r>
          </w:p>
        </w:tc>
        <w:tc>
          <w:tcPr>
            <w:tcW w:w="1366" w:type="dxa"/>
            <w:noWrap/>
            <w:hideMark/>
          </w:tcPr>
          <w:p w14:paraId="362C4FA6" w14:textId="66EB8E40"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07169</w:t>
            </w:r>
          </w:p>
        </w:tc>
      </w:tr>
      <w:tr w:rsidR="00A22BE3" w:rsidRPr="0006777D" w14:paraId="4E3A5438" w14:textId="77777777" w:rsidTr="00EF541B">
        <w:trPr>
          <w:trHeight w:val="300"/>
        </w:trPr>
        <w:tc>
          <w:tcPr>
            <w:tcW w:w="795" w:type="dxa"/>
            <w:noWrap/>
            <w:hideMark/>
          </w:tcPr>
          <w:p w14:paraId="400D26CC" w14:textId="77777777" w:rsidR="004770A2" w:rsidRPr="0006777D" w:rsidRDefault="004770A2" w:rsidP="00A22BE3">
            <w:pPr>
              <w:pStyle w:val="PostHeadPara"/>
              <w:ind w:left="426" w:hanging="426"/>
              <w:rPr>
                <w:rFonts w:asciiTheme="majorHAnsi" w:hAnsiTheme="majorHAnsi"/>
                <w:sz w:val="22"/>
              </w:rPr>
            </w:pPr>
            <w:r w:rsidRPr="0006777D">
              <w:rPr>
                <w:rFonts w:asciiTheme="majorHAnsi" w:hAnsiTheme="majorHAnsi"/>
                <w:sz w:val="22"/>
              </w:rPr>
              <w:t>2020</w:t>
            </w:r>
          </w:p>
        </w:tc>
        <w:tc>
          <w:tcPr>
            <w:tcW w:w="1114" w:type="dxa"/>
            <w:noWrap/>
            <w:hideMark/>
          </w:tcPr>
          <w:p w14:paraId="53963407" w14:textId="153F76D8"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107315</w:t>
            </w:r>
            <w:r>
              <w:rPr>
                <w:rFonts w:asciiTheme="majorHAnsi" w:hAnsiTheme="majorHAnsi"/>
                <w:sz w:val="22"/>
              </w:rPr>
              <w:t>.</w:t>
            </w:r>
            <w:r w:rsidRPr="0006777D">
              <w:rPr>
                <w:rFonts w:asciiTheme="majorHAnsi" w:hAnsiTheme="majorHAnsi"/>
                <w:sz w:val="22"/>
              </w:rPr>
              <w:t>3</w:t>
            </w:r>
          </w:p>
        </w:tc>
        <w:tc>
          <w:tcPr>
            <w:tcW w:w="1419" w:type="dxa"/>
            <w:noWrap/>
            <w:hideMark/>
          </w:tcPr>
          <w:p w14:paraId="4456DB2A" w14:textId="272A0DB3"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01763</w:t>
            </w:r>
          </w:p>
        </w:tc>
        <w:tc>
          <w:tcPr>
            <w:tcW w:w="802" w:type="dxa"/>
            <w:noWrap/>
            <w:hideMark/>
          </w:tcPr>
          <w:p w14:paraId="5322C64E"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2016</w:t>
            </w:r>
          </w:p>
        </w:tc>
        <w:tc>
          <w:tcPr>
            <w:tcW w:w="1087" w:type="dxa"/>
            <w:noWrap/>
            <w:hideMark/>
          </w:tcPr>
          <w:p w14:paraId="781E7553" w14:textId="16D1B783"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85616</w:t>
            </w:r>
            <w:r w:rsidR="00A22BE3">
              <w:rPr>
                <w:rFonts w:asciiTheme="majorHAnsi" w:hAnsiTheme="majorHAnsi"/>
                <w:sz w:val="22"/>
              </w:rPr>
              <w:t>.</w:t>
            </w:r>
            <w:r w:rsidRPr="0006777D">
              <w:rPr>
                <w:rFonts w:asciiTheme="majorHAnsi" w:hAnsiTheme="majorHAnsi"/>
                <w:sz w:val="22"/>
              </w:rPr>
              <w:t>1</w:t>
            </w:r>
          </w:p>
        </w:tc>
        <w:tc>
          <w:tcPr>
            <w:tcW w:w="1044" w:type="dxa"/>
            <w:noWrap/>
            <w:hideMark/>
          </w:tcPr>
          <w:p w14:paraId="4387ECEF" w14:textId="47F6AC6D"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03043</w:t>
            </w:r>
          </w:p>
        </w:tc>
        <w:tc>
          <w:tcPr>
            <w:tcW w:w="896" w:type="dxa"/>
            <w:noWrap/>
            <w:hideMark/>
          </w:tcPr>
          <w:p w14:paraId="5099695C"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2012</w:t>
            </w:r>
          </w:p>
        </w:tc>
        <w:tc>
          <w:tcPr>
            <w:tcW w:w="993" w:type="dxa"/>
            <w:noWrap/>
            <w:hideMark/>
          </w:tcPr>
          <w:p w14:paraId="286BD4C7" w14:textId="6F0D84D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68103</w:t>
            </w:r>
            <w:r w:rsidR="00A22BE3">
              <w:rPr>
                <w:rFonts w:asciiTheme="majorHAnsi" w:hAnsiTheme="majorHAnsi"/>
                <w:sz w:val="22"/>
              </w:rPr>
              <w:t>.</w:t>
            </w:r>
            <w:r w:rsidRPr="0006777D">
              <w:rPr>
                <w:rFonts w:asciiTheme="majorHAnsi" w:hAnsiTheme="majorHAnsi"/>
                <w:sz w:val="22"/>
              </w:rPr>
              <w:t>4</w:t>
            </w:r>
          </w:p>
        </w:tc>
        <w:tc>
          <w:tcPr>
            <w:tcW w:w="1366" w:type="dxa"/>
            <w:noWrap/>
            <w:hideMark/>
          </w:tcPr>
          <w:p w14:paraId="4BCE8E6A" w14:textId="4087DA83"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132904</w:t>
            </w:r>
          </w:p>
        </w:tc>
      </w:tr>
      <w:tr w:rsidR="00A22BE3" w:rsidRPr="0006777D" w14:paraId="14DBA763" w14:textId="77777777" w:rsidTr="00EF541B">
        <w:trPr>
          <w:trHeight w:val="300"/>
        </w:trPr>
        <w:tc>
          <w:tcPr>
            <w:tcW w:w="795" w:type="dxa"/>
            <w:noWrap/>
            <w:hideMark/>
          </w:tcPr>
          <w:p w14:paraId="2EBDCEC6" w14:textId="77777777" w:rsidR="004770A2" w:rsidRPr="0006777D" w:rsidRDefault="004770A2" w:rsidP="00A22BE3">
            <w:pPr>
              <w:pStyle w:val="PostHeadPara"/>
              <w:ind w:left="426" w:hanging="426"/>
              <w:rPr>
                <w:rFonts w:asciiTheme="majorHAnsi" w:hAnsiTheme="majorHAnsi"/>
                <w:sz w:val="22"/>
              </w:rPr>
            </w:pPr>
            <w:r w:rsidRPr="0006777D">
              <w:rPr>
                <w:rFonts w:asciiTheme="majorHAnsi" w:hAnsiTheme="majorHAnsi"/>
                <w:sz w:val="22"/>
              </w:rPr>
              <w:t>2019</w:t>
            </w:r>
          </w:p>
        </w:tc>
        <w:tc>
          <w:tcPr>
            <w:tcW w:w="1114" w:type="dxa"/>
            <w:noWrap/>
            <w:hideMark/>
          </w:tcPr>
          <w:p w14:paraId="42B24105" w14:textId="7971F5C2"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109241</w:t>
            </w:r>
            <w:r w:rsidR="00A22BE3">
              <w:rPr>
                <w:rFonts w:asciiTheme="majorHAnsi" w:hAnsiTheme="majorHAnsi"/>
                <w:sz w:val="22"/>
              </w:rPr>
              <w:t>.</w:t>
            </w:r>
            <w:r w:rsidRPr="0006777D">
              <w:rPr>
                <w:rFonts w:asciiTheme="majorHAnsi" w:hAnsiTheme="majorHAnsi"/>
                <w:sz w:val="22"/>
              </w:rPr>
              <w:t>5</w:t>
            </w:r>
          </w:p>
        </w:tc>
        <w:tc>
          <w:tcPr>
            <w:tcW w:w="1419" w:type="dxa"/>
            <w:noWrap/>
            <w:hideMark/>
          </w:tcPr>
          <w:p w14:paraId="4B753468" w14:textId="3D3D8E2B"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051798</w:t>
            </w:r>
          </w:p>
        </w:tc>
        <w:tc>
          <w:tcPr>
            <w:tcW w:w="802" w:type="dxa"/>
            <w:noWrap/>
            <w:hideMark/>
          </w:tcPr>
          <w:p w14:paraId="6A686095"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2015</w:t>
            </w:r>
          </w:p>
        </w:tc>
        <w:tc>
          <w:tcPr>
            <w:tcW w:w="1087" w:type="dxa"/>
            <w:noWrap/>
            <w:hideMark/>
          </w:tcPr>
          <w:p w14:paraId="414E160F" w14:textId="61A08E83"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83087</w:t>
            </w:r>
            <w:r w:rsidR="00A22BE3">
              <w:rPr>
                <w:rFonts w:asciiTheme="majorHAnsi" w:hAnsiTheme="majorHAnsi"/>
                <w:sz w:val="22"/>
              </w:rPr>
              <w:t>.</w:t>
            </w:r>
            <w:r w:rsidRPr="0006777D">
              <w:rPr>
                <w:rFonts w:asciiTheme="majorHAnsi" w:hAnsiTheme="majorHAnsi"/>
                <w:sz w:val="22"/>
              </w:rPr>
              <w:t>4</w:t>
            </w:r>
          </w:p>
        </w:tc>
        <w:tc>
          <w:tcPr>
            <w:tcW w:w="1044" w:type="dxa"/>
            <w:noWrap/>
            <w:hideMark/>
          </w:tcPr>
          <w:p w14:paraId="6BB126CC" w14:textId="571FF301"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05134</w:t>
            </w:r>
          </w:p>
        </w:tc>
        <w:tc>
          <w:tcPr>
            <w:tcW w:w="896" w:type="dxa"/>
            <w:noWrap/>
            <w:hideMark/>
          </w:tcPr>
          <w:p w14:paraId="062A48CA"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2011</w:t>
            </w:r>
          </w:p>
        </w:tc>
        <w:tc>
          <w:tcPr>
            <w:tcW w:w="993" w:type="dxa"/>
            <w:noWrap/>
            <w:hideMark/>
          </w:tcPr>
          <w:p w14:paraId="1F37176B"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60114</w:t>
            </w:r>
          </w:p>
        </w:tc>
        <w:tc>
          <w:tcPr>
            <w:tcW w:w="1366" w:type="dxa"/>
            <w:noWrap/>
            <w:hideMark/>
          </w:tcPr>
          <w:p w14:paraId="1F8A39E4" w14:textId="528690AF"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351138</w:t>
            </w:r>
          </w:p>
        </w:tc>
      </w:tr>
      <w:tr w:rsidR="00A22BE3" w:rsidRPr="0006777D" w14:paraId="1996EDA1" w14:textId="77777777" w:rsidTr="00EF541B">
        <w:trPr>
          <w:trHeight w:val="300"/>
        </w:trPr>
        <w:tc>
          <w:tcPr>
            <w:tcW w:w="795" w:type="dxa"/>
            <w:noWrap/>
            <w:hideMark/>
          </w:tcPr>
          <w:p w14:paraId="49B14659" w14:textId="77777777" w:rsidR="004770A2" w:rsidRPr="0006777D" w:rsidRDefault="004770A2" w:rsidP="00A22BE3">
            <w:pPr>
              <w:pStyle w:val="PostHeadPara"/>
              <w:ind w:left="426" w:hanging="426"/>
              <w:rPr>
                <w:rFonts w:asciiTheme="majorHAnsi" w:hAnsiTheme="majorHAnsi"/>
                <w:sz w:val="22"/>
              </w:rPr>
            </w:pPr>
            <w:r w:rsidRPr="0006777D">
              <w:rPr>
                <w:rFonts w:asciiTheme="majorHAnsi" w:hAnsiTheme="majorHAnsi"/>
                <w:sz w:val="22"/>
              </w:rPr>
              <w:t>2018</w:t>
            </w:r>
          </w:p>
        </w:tc>
        <w:tc>
          <w:tcPr>
            <w:tcW w:w="1114" w:type="dxa"/>
            <w:noWrap/>
            <w:hideMark/>
          </w:tcPr>
          <w:p w14:paraId="30E4A5D1" w14:textId="6C12A8F2" w:rsidR="004770A2" w:rsidRPr="0006777D" w:rsidRDefault="004770A2" w:rsidP="00A22BE3">
            <w:pPr>
              <w:pStyle w:val="PostHeadPara"/>
              <w:ind w:left="426" w:hanging="426"/>
              <w:rPr>
                <w:rFonts w:asciiTheme="majorHAnsi" w:hAnsiTheme="majorHAnsi"/>
                <w:sz w:val="22"/>
              </w:rPr>
            </w:pPr>
            <w:r w:rsidRPr="0006777D">
              <w:rPr>
                <w:rFonts w:asciiTheme="majorHAnsi" w:hAnsiTheme="majorHAnsi"/>
                <w:sz w:val="22"/>
              </w:rPr>
              <w:t>103861</w:t>
            </w:r>
            <w:r w:rsidR="00A22BE3">
              <w:rPr>
                <w:rFonts w:asciiTheme="majorHAnsi" w:hAnsiTheme="majorHAnsi"/>
                <w:sz w:val="22"/>
              </w:rPr>
              <w:t>.</w:t>
            </w:r>
            <w:r w:rsidRPr="0006777D">
              <w:rPr>
                <w:rFonts w:asciiTheme="majorHAnsi" w:hAnsiTheme="majorHAnsi"/>
                <w:sz w:val="22"/>
              </w:rPr>
              <w:t>7</w:t>
            </w:r>
          </w:p>
        </w:tc>
        <w:tc>
          <w:tcPr>
            <w:tcW w:w="1419" w:type="dxa"/>
            <w:noWrap/>
            <w:hideMark/>
          </w:tcPr>
          <w:p w14:paraId="4EBA0277" w14:textId="7148A1FE"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130859</w:t>
            </w:r>
          </w:p>
        </w:tc>
        <w:tc>
          <w:tcPr>
            <w:tcW w:w="802" w:type="dxa"/>
            <w:noWrap/>
            <w:hideMark/>
          </w:tcPr>
          <w:p w14:paraId="50FD6A45"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2014</w:t>
            </w:r>
          </w:p>
        </w:tc>
        <w:tc>
          <w:tcPr>
            <w:tcW w:w="1087" w:type="dxa"/>
            <w:noWrap/>
            <w:hideMark/>
          </w:tcPr>
          <w:p w14:paraId="24E2A725"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79030</w:t>
            </w:r>
          </w:p>
        </w:tc>
        <w:tc>
          <w:tcPr>
            <w:tcW w:w="1044" w:type="dxa"/>
            <w:noWrap/>
            <w:hideMark/>
          </w:tcPr>
          <w:p w14:paraId="2632F442" w14:textId="710DE21D"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r w:rsidR="00A22BE3">
              <w:rPr>
                <w:rFonts w:asciiTheme="majorHAnsi" w:hAnsiTheme="majorHAnsi"/>
                <w:sz w:val="22"/>
              </w:rPr>
              <w:t>.</w:t>
            </w:r>
            <w:r w:rsidRPr="0006777D">
              <w:rPr>
                <w:rFonts w:asciiTheme="majorHAnsi" w:hAnsiTheme="majorHAnsi"/>
                <w:sz w:val="22"/>
              </w:rPr>
              <w:t>08281</w:t>
            </w:r>
          </w:p>
        </w:tc>
        <w:tc>
          <w:tcPr>
            <w:tcW w:w="896" w:type="dxa"/>
            <w:noWrap/>
            <w:hideMark/>
          </w:tcPr>
          <w:p w14:paraId="0BD15C33"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2010</w:t>
            </w:r>
          </w:p>
        </w:tc>
        <w:tc>
          <w:tcPr>
            <w:tcW w:w="993" w:type="dxa"/>
            <w:noWrap/>
            <w:hideMark/>
          </w:tcPr>
          <w:p w14:paraId="79CACA4B" w14:textId="7167B271"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44491</w:t>
            </w:r>
            <w:r w:rsidR="00A22BE3">
              <w:rPr>
                <w:rFonts w:asciiTheme="majorHAnsi" w:hAnsiTheme="majorHAnsi"/>
                <w:sz w:val="22"/>
              </w:rPr>
              <w:t>.</w:t>
            </w:r>
            <w:r w:rsidRPr="0006777D">
              <w:rPr>
                <w:rFonts w:asciiTheme="majorHAnsi" w:hAnsiTheme="majorHAnsi"/>
                <w:sz w:val="22"/>
              </w:rPr>
              <w:t>4</w:t>
            </w:r>
          </w:p>
        </w:tc>
        <w:tc>
          <w:tcPr>
            <w:tcW w:w="1366" w:type="dxa"/>
            <w:noWrap/>
            <w:hideMark/>
          </w:tcPr>
          <w:p w14:paraId="73BFA12B" w14:textId="77777777" w:rsidR="004770A2" w:rsidRPr="0006777D" w:rsidRDefault="004770A2" w:rsidP="00A22BE3">
            <w:pPr>
              <w:pStyle w:val="PostHeadPara"/>
              <w:ind w:left="426" w:hanging="426"/>
              <w:jc w:val="right"/>
              <w:rPr>
                <w:rFonts w:asciiTheme="majorHAnsi" w:hAnsiTheme="majorHAnsi"/>
                <w:sz w:val="22"/>
              </w:rPr>
            </w:pPr>
            <w:r w:rsidRPr="0006777D">
              <w:rPr>
                <w:rFonts w:asciiTheme="majorHAnsi" w:hAnsiTheme="majorHAnsi"/>
                <w:sz w:val="22"/>
              </w:rPr>
              <w:t>0</w:t>
            </w:r>
          </w:p>
        </w:tc>
      </w:tr>
    </w:tbl>
    <w:p w14:paraId="5B5FDBEA" w14:textId="77777777" w:rsidR="004770A2" w:rsidRDefault="004770A2" w:rsidP="00A22BE3">
      <w:pPr>
        <w:tabs>
          <w:tab w:val="left" w:pos="450"/>
        </w:tabs>
        <w:spacing w:after="0"/>
        <w:ind w:left="426" w:hanging="426"/>
        <w:rPr>
          <w:rFonts w:ascii="Cambria" w:hAnsi="Cambria"/>
          <w:bCs/>
          <w:kern w:val="28"/>
          <w:sz w:val="24"/>
          <w:lang w:val="en-US"/>
        </w:rPr>
      </w:pPr>
    </w:p>
    <w:p w14:paraId="14BCF646" w14:textId="7FDEE7DE" w:rsidR="00584536" w:rsidRPr="0030223F" w:rsidRDefault="00A22BE3" w:rsidP="00EF541B">
      <w:pPr>
        <w:tabs>
          <w:tab w:val="left" w:pos="426"/>
        </w:tabs>
        <w:spacing w:after="0"/>
        <w:ind w:right="-4" w:firstLine="426"/>
        <w:rPr>
          <w:rFonts w:ascii="Cambria" w:hAnsi="Cambria"/>
          <w:bCs/>
          <w:kern w:val="28"/>
          <w:sz w:val="24"/>
          <w:lang w:val="en-US"/>
        </w:rPr>
      </w:pPr>
      <w:r w:rsidRPr="00A22BE3">
        <w:rPr>
          <w:rFonts w:ascii="Cambria" w:hAnsi="Cambria"/>
          <w:bCs/>
          <w:kern w:val="28"/>
          <w:sz w:val="24"/>
          <w:lang w:val="en-US"/>
        </w:rPr>
        <w:t xml:space="preserve">The calculation of financial risk by the VaR model was performed using the Data Analysis package in XL tables. </w:t>
      </w:r>
      <w:r w:rsidR="0030223F" w:rsidRPr="0030223F">
        <w:rPr>
          <w:rFonts w:ascii="Cambria" w:hAnsi="Cambria"/>
          <w:bCs/>
          <w:kern w:val="28"/>
          <w:sz w:val="24"/>
          <w:lang w:val="en-US"/>
        </w:rPr>
        <w:t>Risk assessment is essential in predicting financial parameters.</w:t>
      </w:r>
    </w:p>
    <w:p w14:paraId="2E07CAB7" w14:textId="5ECB89B2" w:rsidR="00584536" w:rsidRPr="00584536" w:rsidRDefault="006D2376" w:rsidP="00584536">
      <w:pPr>
        <w:tabs>
          <w:tab w:val="left" w:pos="426"/>
        </w:tabs>
        <w:spacing w:after="0"/>
        <w:ind w:right="-4" w:firstLine="426"/>
        <w:rPr>
          <w:rFonts w:ascii="Cambria" w:hAnsi="Cambria"/>
          <w:bCs/>
          <w:kern w:val="28"/>
          <w:sz w:val="24"/>
          <w:lang w:val="en-US"/>
        </w:rPr>
      </w:pPr>
      <w:r w:rsidRPr="006D2376">
        <w:rPr>
          <w:rFonts w:ascii="Cambria" w:hAnsi="Cambria"/>
          <w:bCs/>
          <w:kern w:val="28"/>
          <w:sz w:val="24"/>
          <w:highlight w:val="yellow"/>
          <w:lang w:val="en-US"/>
        </w:rPr>
        <w:t xml:space="preserve">Risk assessment is essential in all areas of activity. </w:t>
      </w:r>
      <w:r w:rsidR="00584536" w:rsidRPr="00584536">
        <w:rPr>
          <w:rFonts w:ascii="Cambria" w:hAnsi="Cambria"/>
          <w:bCs/>
          <w:kern w:val="28"/>
          <w:sz w:val="24"/>
          <w:highlight w:val="yellow"/>
          <w:lang w:val="en-US"/>
        </w:rPr>
        <w:t xml:space="preserve">Puteri </w:t>
      </w:r>
      <w:r w:rsidRPr="006D2376">
        <w:rPr>
          <w:rFonts w:ascii="Cambria" w:hAnsi="Cambria"/>
          <w:bCs/>
          <w:kern w:val="28"/>
          <w:sz w:val="24"/>
          <w:lang w:val="en-US"/>
        </w:rPr>
        <w:t>N</w:t>
      </w:r>
      <w:r>
        <w:rPr>
          <w:rFonts w:ascii="Cambria" w:hAnsi="Cambria"/>
          <w:bCs/>
          <w:kern w:val="28"/>
          <w:sz w:val="24"/>
          <w:highlight w:val="yellow"/>
          <w:lang w:val="en-US"/>
        </w:rPr>
        <w:t xml:space="preserve">. </w:t>
      </w:r>
      <w:r w:rsidR="00584536" w:rsidRPr="00584536">
        <w:rPr>
          <w:rFonts w:ascii="Cambria" w:hAnsi="Cambria"/>
          <w:bCs/>
          <w:kern w:val="28"/>
          <w:sz w:val="24"/>
          <w:highlight w:val="yellow"/>
          <w:lang w:val="en-US"/>
        </w:rPr>
        <w:t>and colleagues concluded that that risk management is a constant effort that must be carried out throughout the life of a project.</w:t>
      </w:r>
      <w:r w:rsidR="00584536" w:rsidRPr="00584536">
        <w:rPr>
          <w:rFonts w:ascii="Cambria" w:hAnsi="Cambria"/>
          <w:bCs/>
          <w:kern w:val="28"/>
          <w:sz w:val="24"/>
          <w:lang w:val="en-US"/>
        </w:rPr>
        <w:t xml:space="preserve"> </w:t>
      </w:r>
      <w:r w:rsidR="00584536" w:rsidRPr="00584536">
        <w:rPr>
          <w:rFonts w:ascii="Cambria" w:hAnsi="Cambria"/>
          <w:bCs/>
          <w:kern w:val="28"/>
          <w:sz w:val="24"/>
          <w:highlight w:val="yellow"/>
          <w:lang w:val="en-US"/>
        </w:rPr>
        <w:t>For construction and property development projects, the administration of each risk management stage is important due to the nature of the work involved.</w:t>
      </w:r>
      <w:r>
        <w:rPr>
          <w:rFonts w:ascii="Cambria" w:hAnsi="Cambria"/>
          <w:bCs/>
          <w:kern w:val="28"/>
          <w:sz w:val="24"/>
          <w:lang w:val="en-US"/>
        </w:rPr>
        <w:t xml:space="preserve"> (</w:t>
      </w:r>
      <w:r w:rsidRPr="006D2376">
        <w:rPr>
          <w:rFonts w:ascii="Cambria" w:hAnsi="Cambria"/>
          <w:bCs/>
          <w:kern w:val="28"/>
          <w:sz w:val="24"/>
          <w:highlight w:val="yellow"/>
          <w:lang w:val="en-US"/>
        </w:rPr>
        <w:t xml:space="preserve"> Puteri, et al., 2022)</w:t>
      </w:r>
    </w:p>
    <w:p w14:paraId="676F8EA6" w14:textId="56417501" w:rsidR="004770A2" w:rsidRDefault="00A22BE3" w:rsidP="00EF541B">
      <w:pPr>
        <w:tabs>
          <w:tab w:val="left" w:pos="426"/>
        </w:tabs>
        <w:spacing w:after="0"/>
        <w:ind w:right="-4" w:firstLine="426"/>
        <w:rPr>
          <w:rFonts w:ascii="Cambria" w:hAnsi="Cambria"/>
          <w:bCs/>
          <w:kern w:val="28"/>
          <w:sz w:val="24"/>
          <w:lang w:val="en-US"/>
        </w:rPr>
      </w:pPr>
      <w:r w:rsidRPr="00A22BE3">
        <w:rPr>
          <w:rFonts w:ascii="Cambria" w:hAnsi="Cambria"/>
          <w:bCs/>
          <w:kern w:val="28"/>
          <w:sz w:val="24"/>
          <w:lang w:val="en-US"/>
        </w:rPr>
        <w:t xml:space="preserve"> According to the VaR model, with a probability of 99%, the absolute value of the financi</w:t>
      </w:r>
      <w:r w:rsidR="0030223F">
        <w:rPr>
          <w:rFonts w:ascii="Cambria" w:hAnsi="Cambria"/>
          <w:bCs/>
          <w:kern w:val="28"/>
          <w:sz w:val="24"/>
          <w:lang w:val="en-US"/>
        </w:rPr>
        <w:t>al risk of a reduction in the Russia</w:t>
      </w:r>
      <w:r w:rsidRPr="00A22BE3">
        <w:rPr>
          <w:rFonts w:ascii="Cambria" w:hAnsi="Cambria"/>
          <w:bCs/>
          <w:kern w:val="28"/>
          <w:sz w:val="24"/>
          <w:lang w:val="en-US"/>
        </w:rPr>
        <w:t xml:space="preserve"> GDP may amount to 17,093.03 billion rubles in 2022, or </w:t>
      </w:r>
      <w:r w:rsidR="0030223F">
        <w:rPr>
          <w:rFonts w:ascii="Cambria" w:hAnsi="Cambria"/>
          <w:bCs/>
          <w:kern w:val="28"/>
          <w:sz w:val="24"/>
          <w:lang w:val="en-US"/>
        </w:rPr>
        <w:t xml:space="preserve">13.0 </w:t>
      </w:r>
      <w:r w:rsidRPr="00A22BE3">
        <w:rPr>
          <w:rFonts w:ascii="Cambria" w:hAnsi="Cambria"/>
          <w:bCs/>
          <w:kern w:val="28"/>
          <w:sz w:val="24"/>
          <w:lang w:val="en-US"/>
        </w:rPr>
        <w:t xml:space="preserve">%, and the forecast value of GDP may amount to 113,921.97 trillion rub. In the course of using the VaR model, a table chart was formed with the frequency of deviation (percentage of GDP change) falling into one or another interval. </w:t>
      </w:r>
    </w:p>
    <w:p w14:paraId="03B37B82" w14:textId="76B56328" w:rsidR="00A22BE3" w:rsidRPr="00A22BE3" w:rsidRDefault="00A22BE3" w:rsidP="00EF541B">
      <w:pPr>
        <w:tabs>
          <w:tab w:val="left" w:pos="0"/>
        </w:tabs>
        <w:spacing w:after="0"/>
        <w:ind w:right="280" w:firstLine="426"/>
        <w:rPr>
          <w:rFonts w:ascii="Cambria" w:hAnsi="Cambria"/>
          <w:bCs/>
          <w:kern w:val="28"/>
          <w:sz w:val="24"/>
          <w:lang w:val="en-US"/>
        </w:rPr>
      </w:pPr>
      <w:r w:rsidRPr="00A22BE3">
        <w:rPr>
          <w:rFonts w:ascii="Cambria" w:hAnsi="Cambria"/>
          <w:bCs/>
          <w:kern w:val="28"/>
          <w:sz w:val="24"/>
          <w:lang w:val="en-US"/>
        </w:rPr>
        <w:t>After substituting the parameters into the equation, the forecast value of Russian GDP for the next period (year) was obtained based on the VaR model: Pt+1=(-0.130466179+1)*131015 = 13921.97 billion rubles.</w:t>
      </w:r>
      <w:r w:rsidR="00EF541B">
        <w:rPr>
          <w:rFonts w:ascii="Cambria" w:hAnsi="Cambria"/>
          <w:bCs/>
          <w:kern w:val="28"/>
          <w:sz w:val="24"/>
          <w:lang w:val="en-US"/>
        </w:rPr>
        <w:t xml:space="preserve"> </w:t>
      </w:r>
      <w:r w:rsidRPr="00A22BE3">
        <w:rPr>
          <w:rFonts w:ascii="Cambria" w:hAnsi="Cambria"/>
          <w:bCs/>
          <w:kern w:val="28"/>
          <w:sz w:val="24"/>
          <w:lang w:val="en-US"/>
        </w:rPr>
        <w:t xml:space="preserve">An objective assessment of the quality </w:t>
      </w:r>
      <w:r w:rsidRPr="00A22BE3">
        <w:rPr>
          <w:rFonts w:ascii="Cambria" w:hAnsi="Cambria"/>
          <w:bCs/>
          <w:kern w:val="28"/>
          <w:sz w:val="24"/>
          <w:lang w:val="en-US"/>
        </w:rPr>
        <w:lastRenderedPageBreak/>
        <w:t>of the forecast will be obtained at the end of 2022 year.</w:t>
      </w:r>
      <w:r w:rsidR="00EF541B">
        <w:rPr>
          <w:rFonts w:ascii="Cambria" w:hAnsi="Cambria"/>
          <w:bCs/>
          <w:kern w:val="28"/>
          <w:sz w:val="24"/>
          <w:lang w:val="en-US"/>
        </w:rPr>
        <w:t xml:space="preserve"> </w:t>
      </w:r>
      <w:r w:rsidRPr="00A22BE3">
        <w:rPr>
          <w:rFonts w:ascii="Cambria" w:hAnsi="Cambria"/>
          <w:bCs/>
          <w:kern w:val="28"/>
          <w:sz w:val="24"/>
          <w:lang w:val="en-US"/>
        </w:rPr>
        <w:t>The calculations show that both models predict a decline in GDP, so the forecast value of GDP for the next 2022, calculated by the AI system, was 83.38% relative to the actual one, while that calculated by the VaR model was 86.95%.</w:t>
      </w:r>
    </w:p>
    <w:p w14:paraId="64124A5A" w14:textId="6273AB19" w:rsidR="00A22BE3" w:rsidRPr="00A22BE3" w:rsidRDefault="00A22BE3" w:rsidP="0030223F">
      <w:pPr>
        <w:tabs>
          <w:tab w:val="left" w:pos="0"/>
        </w:tabs>
        <w:spacing w:after="0"/>
        <w:ind w:right="280" w:firstLine="426"/>
        <w:rPr>
          <w:rFonts w:ascii="Cambria" w:hAnsi="Cambria"/>
          <w:bCs/>
          <w:kern w:val="28"/>
          <w:sz w:val="24"/>
          <w:lang w:val="en-US"/>
        </w:rPr>
      </w:pPr>
      <w:r w:rsidRPr="00A22BE3">
        <w:rPr>
          <w:rFonts w:ascii="Cambria" w:hAnsi="Cambria"/>
          <w:bCs/>
          <w:kern w:val="28"/>
          <w:sz w:val="24"/>
          <w:lang w:val="en-US"/>
        </w:rPr>
        <w:t>Further research into the problem of sustainable development of the domestic economy can be continued in the following areas.</w:t>
      </w:r>
      <w:r w:rsidR="00077D18">
        <w:rPr>
          <w:rFonts w:ascii="Cambria" w:hAnsi="Cambria"/>
          <w:bCs/>
          <w:kern w:val="28"/>
          <w:sz w:val="24"/>
          <w:lang w:val="en-US"/>
        </w:rPr>
        <w:t xml:space="preserve"> </w:t>
      </w:r>
      <w:r w:rsidRPr="00A22BE3">
        <w:rPr>
          <w:rFonts w:ascii="Cambria" w:hAnsi="Cambria"/>
          <w:bCs/>
          <w:kern w:val="28"/>
          <w:sz w:val="24"/>
          <w:lang w:val="en-US"/>
        </w:rPr>
        <w:t>Firstly, the use of cognitive models to assess the state and forecast for the future sustainability of the domestic economy as a complex system.</w:t>
      </w:r>
      <w:r w:rsidR="00077D18">
        <w:rPr>
          <w:rFonts w:ascii="Cambria" w:hAnsi="Cambria"/>
          <w:bCs/>
          <w:kern w:val="28"/>
          <w:sz w:val="24"/>
          <w:lang w:val="en-US"/>
        </w:rPr>
        <w:t xml:space="preserve"> </w:t>
      </w:r>
      <w:r w:rsidRPr="00A22BE3">
        <w:rPr>
          <w:rFonts w:ascii="Cambria" w:hAnsi="Cambria"/>
          <w:bCs/>
          <w:kern w:val="28"/>
          <w:sz w:val="24"/>
          <w:lang w:val="en-US"/>
        </w:rPr>
        <w:t>Secondly, monitoring and improving the capital structure to reduce the share of bad loans.</w:t>
      </w:r>
      <w:r w:rsidR="00077D18">
        <w:rPr>
          <w:rFonts w:ascii="Cambria" w:hAnsi="Cambria"/>
          <w:bCs/>
          <w:kern w:val="28"/>
          <w:sz w:val="24"/>
          <w:lang w:val="en-US"/>
        </w:rPr>
        <w:t xml:space="preserve"> </w:t>
      </w:r>
      <w:r w:rsidRPr="00A22BE3">
        <w:rPr>
          <w:rFonts w:ascii="Cambria" w:hAnsi="Cambria"/>
          <w:bCs/>
          <w:kern w:val="28"/>
          <w:sz w:val="24"/>
          <w:lang w:val="en-US"/>
        </w:rPr>
        <w:t xml:space="preserve">Thirdly, it is important to study and take into account in cognitive intellectual models, global challenges and trends in world politics - how strong their impact on economic processes, world trade and production. </w:t>
      </w:r>
      <w:r w:rsidR="0030223F">
        <w:rPr>
          <w:rFonts w:ascii="Cambria" w:hAnsi="Cambria"/>
          <w:bCs/>
          <w:kern w:val="28"/>
          <w:sz w:val="24"/>
          <w:lang w:val="en-US"/>
        </w:rPr>
        <w:t xml:space="preserve"> </w:t>
      </w:r>
      <w:r w:rsidRPr="00A22BE3">
        <w:rPr>
          <w:rFonts w:ascii="Cambria" w:hAnsi="Cambria"/>
          <w:bCs/>
          <w:kern w:val="28"/>
          <w:sz w:val="24"/>
          <w:lang w:val="en-US"/>
        </w:rPr>
        <w:t>The conducted research allows to obtain an increment of knowledge, allowing to close the scientific gap regarding the influence of factors influencing the complex processes of formation of export earnings in modern conditions. In this case, two approaches were used: an artificial intelligence system - a perceptron and a VaR model.</w:t>
      </w:r>
    </w:p>
    <w:p w14:paraId="664DC6CA" w14:textId="77777777" w:rsidR="004770A2" w:rsidRDefault="004770A2" w:rsidP="004A7259">
      <w:pPr>
        <w:tabs>
          <w:tab w:val="left" w:pos="450"/>
        </w:tabs>
        <w:spacing w:after="0"/>
        <w:rPr>
          <w:rFonts w:ascii="Cambria" w:hAnsi="Cambria"/>
          <w:bCs/>
          <w:kern w:val="28"/>
          <w:sz w:val="24"/>
          <w:lang w:val="en-US"/>
        </w:rPr>
      </w:pPr>
    </w:p>
    <w:p w14:paraId="7C7699DB" w14:textId="323ED3B0" w:rsidR="00403744" w:rsidRPr="00C67D34" w:rsidRDefault="00883234" w:rsidP="00C67D34">
      <w:pPr>
        <w:tabs>
          <w:tab w:val="left" w:pos="450"/>
        </w:tabs>
        <w:rPr>
          <w:rFonts w:ascii="Cambria" w:hAnsi="Cambria"/>
          <w:b/>
          <w:bCs/>
          <w:caps/>
          <w:kern w:val="28"/>
          <w:sz w:val="24"/>
          <w:lang w:val="en-US"/>
        </w:rPr>
      </w:pPr>
      <w:r w:rsidRPr="00242108">
        <w:rPr>
          <w:rFonts w:ascii="Cambria" w:hAnsi="Cambria"/>
          <w:b/>
          <w:bCs/>
          <w:kern w:val="28"/>
          <w:sz w:val="24"/>
          <w:lang w:val="en-US"/>
        </w:rPr>
        <w:t>4</w:t>
      </w:r>
      <w:r w:rsidRPr="00242108">
        <w:rPr>
          <w:rFonts w:ascii="Cambria" w:hAnsi="Cambria"/>
          <w:b/>
          <w:bCs/>
          <w:kern w:val="28"/>
          <w:sz w:val="24"/>
        </w:rPr>
        <w:t>.</w:t>
      </w:r>
      <w:r w:rsidRPr="00242108">
        <w:rPr>
          <w:rFonts w:ascii="Cambria" w:hAnsi="Cambria"/>
          <w:b/>
          <w:bCs/>
          <w:kern w:val="28"/>
          <w:sz w:val="24"/>
        </w:rPr>
        <w:tab/>
      </w:r>
      <w:r w:rsidR="00C67D34">
        <w:rPr>
          <w:rFonts w:ascii="Cambria" w:hAnsi="Cambria"/>
          <w:b/>
          <w:bCs/>
          <w:kern w:val="28"/>
          <w:sz w:val="24"/>
          <w:lang w:val="en-US"/>
        </w:rPr>
        <w:t>Conclusion</w:t>
      </w:r>
      <w:r w:rsidR="003F542E">
        <w:rPr>
          <w:rFonts w:ascii="Cambria" w:hAnsi="Cambria"/>
          <w:b/>
          <w:bCs/>
          <w:kern w:val="28"/>
          <w:sz w:val="24"/>
          <w:lang w:val="en-US"/>
        </w:rPr>
        <w:t>s</w:t>
      </w:r>
    </w:p>
    <w:p w14:paraId="5AC2307C" w14:textId="24BF5603" w:rsidR="00E466BE" w:rsidRDefault="00E466BE" w:rsidP="00011C6E">
      <w:pPr>
        <w:autoSpaceDE w:val="0"/>
        <w:autoSpaceDN w:val="0"/>
        <w:adjustRightInd w:val="0"/>
        <w:spacing w:after="0"/>
        <w:ind w:right="289" w:firstLine="426"/>
        <w:rPr>
          <w:rFonts w:ascii="Cambria" w:hAnsi="Cambria"/>
          <w:sz w:val="24"/>
        </w:rPr>
      </w:pPr>
      <w:r w:rsidRPr="00E466BE">
        <w:rPr>
          <w:rFonts w:ascii="Cambria" w:hAnsi="Cambria"/>
          <w:sz w:val="24"/>
        </w:rPr>
        <w:t>The novelty of the study is in a proposed approach that involves the use of the</w:t>
      </w:r>
      <w:r w:rsidR="004C63C9">
        <w:rPr>
          <w:rFonts w:ascii="Cambria" w:hAnsi="Cambria"/>
          <w:sz w:val="24"/>
        </w:rPr>
        <w:t xml:space="preserve"> </w:t>
      </w:r>
      <w:r w:rsidRPr="00E466BE">
        <w:rPr>
          <w:rFonts w:ascii="Cambria" w:hAnsi="Cambria"/>
          <w:sz w:val="24"/>
        </w:rPr>
        <w:t>cognitive modeling of the processes in the interaction of elements of the economy as a complex economic system using the artificial intelligence system "Decision Tree" and the VaR model to obtain a forecast of domestic GDP. A forecast of the GDP value was formed both with the help of the neural network software on the Deductor platform and with the help of the VaR model, with a given level of probability. A hypothesis has been put forward and proved that using the AI system and the VaR model, it is possible to obtain a forecast of the volume of Russian GDP, the dynamics of which makes it possible to assess the sustainability of the development of the country's economy.</w:t>
      </w:r>
      <w:r>
        <w:rPr>
          <w:rFonts w:ascii="Cambria" w:hAnsi="Cambria"/>
          <w:sz w:val="24"/>
        </w:rPr>
        <w:t xml:space="preserve"> </w:t>
      </w:r>
    </w:p>
    <w:p w14:paraId="683AA7FB" w14:textId="53D17B4D" w:rsidR="00E466BE" w:rsidRPr="00E466BE" w:rsidRDefault="00E466BE" w:rsidP="00011C6E">
      <w:pPr>
        <w:autoSpaceDE w:val="0"/>
        <w:autoSpaceDN w:val="0"/>
        <w:adjustRightInd w:val="0"/>
        <w:spacing w:after="0"/>
        <w:ind w:right="289" w:firstLine="426"/>
        <w:rPr>
          <w:rFonts w:ascii="Cambria" w:hAnsi="Cambria"/>
          <w:sz w:val="24"/>
        </w:rPr>
      </w:pPr>
      <w:r w:rsidRPr="00E466BE">
        <w:rPr>
          <w:rFonts w:ascii="Cambria" w:hAnsi="Cambria"/>
          <w:sz w:val="24"/>
        </w:rPr>
        <w:t xml:space="preserve">According to the VaR model, with a probability of 99%, the absolute value of the financial risk of a reduction in the Russia GDP may amount to 17,093.03 billion rubles in 2022, or 13.0 %, and the forecast value of GDP may amount to 113,921.97 trillion rub. </w:t>
      </w:r>
    </w:p>
    <w:p w14:paraId="368EFC86" w14:textId="07B43322" w:rsidR="00403744" w:rsidRDefault="00563305" w:rsidP="00011C6E">
      <w:pPr>
        <w:autoSpaceDE w:val="0"/>
        <w:autoSpaceDN w:val="0"/>
        <w:adjustRightInd w:val="0"/>
        <w:spacing w:after="0"/>
        <w:ind w:right="289" w:firstLine="426"/>
        <w:rPr>
          <w:rFonts w:ascii="Cambria" w:hAnsi="Cambria"/>
          <w:sz w:val="24"/>
        </w:rPr>
      </w:pPr>
      <w:r w:rsidRPr="00563305">
        <w:rPr>
          <w:rFonts w:ascii="Cambria" w:hAnsi="Cambria"/>
          <w:sz w:val="24"/>
        </w:rPr>
        <w:t xml:space="preserve">This study provides an increase in scientific knowledge, which allows closing the scientific gap in terms of identifying and assessing the influence of factors that determine the formation of domestic GDP and the financial risks of this process in modern conditions. </w:t>
      </w:r>
    </w:p>
    <w:p w14:paraId="267A6072" w14:textId="77777777" w:rsidR="00C67D34" w:rsidRPr="00242108" w:rsidRDefault="00C67D34" w:rsidP="00011C6E">
      <w:pPr>
        <w:autoSpaceDE w:val="0"/>
        <w:autoSpaceDN w:val="0"/>
        <w:adjustRightInd w:val="0"/>
        <w:spacing w:after="0"/>
        <w:ind w:right="289" w:firstLine="426"/>
        <w:rPr>
          <w:rFonts w:ascii="Cambria" w:hAnsi="Cambria"/>
          <w:iCs/>
          <w:sz w:val="24"/>
          <w:lang w:val="id-ID"/>
        </w:rPr>
      </w:pPr>
    </w:p>
    <w:p w14:paraId="5A1913DE" w14:textId="77777777" w:rsidR="006158C4" w:rsidRPr="00242108" w:rsidRDefault="00D94603" w:rsidP="00011C6E">
      <w:pPr>
        <w:tabs>
          <w:tab w:val="left" w:pos="450"/>
        </w:tabs>
        <w:ind w:firstLine="426"/>
        <w:rPr>
          <w:rFonts w:ascii="Cambria" w:hAnsi="Cambria"/>
          <w:b/>
          <w:bCs/>
          <w:iCs/>
          <w:sz w:val="24"/>
          <w:lang w:val="id-ID"/>
        </w:rPr>
      </w:pPr>
      <w:r w:rsidRPr="00242108">
        <w:rPr>
          <w:rFonts w:ascii="Cambria" w:hAnsi="Cambria"/>
          <w:b/>
          <w:sz w:val="24"/>
          <w:lang w:val="en-US"/>
        </w:rPr>
        <w:t>References</w:t>
      </w:r>
    </w:p>
    <w:p w14:paraId="27FE4FB1" w14:textId="77777777" w:rsidR="00AC6D37" w:rsidRPr="00563305" w:rsidRDefault="00AC6D37" w:rsidP="00563305">
      <w:pPr>
        <w:spacing w:after="0"/>
        <w:ind w:left="450" w:hanging="450"/>
        <w:rPr>
          <w:rFonts w:ascii="Cambria" w:hAnsi="Cambria" w:cstheme="majorBidi"/>
          <w:sz w:val="24"/>
        </w:rPr>
      </w:pPr>
      <w:bookmarkStart w:id="2" w:name="_GoBack"/>
      <w:bookmarkEnd w:id="0"/>
      <w:bookmarkEnd w:id="1"/>
      <w:r w:rsidRPr="00563305">
        <w:rPr>
          <w:rFonts w:ascii="Cambria" w:hAnsi="Cambria" w:cstheme="majorBidi"/>
          <w:sz w:val="24"/>
        </w:rPr>
        <w:t xml:space="preserve">Abdalmuttaleb, M.A., 2021. </w:t>
      </w:r>
      <w:r w:rsidRPr="00664F1E">
        <w:rPr>
          <w:rFonts w:ascii="Cambria" w:hAnsi="Cambria" w:cstheme="majorBidi"/>
          <w:sz w:val="24"/>
        </w:rPr>
        <w:t>Artificial Intelligence for Sustainable Finance and Sustainable Technology.</w:t>
      </w:r>
      <w:r w:rsidRPr="00563305">
        <w:rPr>
          <w:rFonts w:ascii="Cambria" w:hAnsi="Cambria" w:cstheme="majorBidi"/>
          <w:sz w:val="24"/>
        </w:rPr>
        <w:t xml:space="preserve"> </w:t>
      </w:r>
      <w:r w:rsidRPr="00664F1E">
        <w:rPr>
          <w:rFonts w:ascii="Cambria" w:hAnsi="Cambria" w:cstheme="majorBidi"/>
          <w:i/>
          <w:sz w:val="24"/>
        </w:rPr>
        <w:t>M. Al-</w:t>
      </w:r>
      <w:proofErr w:type="spellStart"/>
      <w:r w:rsidRPr="00664F1E">
        <w:rPr>
          <w:rFonts w:ascii="Cambria" w:hAnsi="Cambria" w:cstheme="majorBidi"/>
          <w:i/>
          <w:sz w:val="24"/>
        </w:rPr>
        <w:t>Sartawi</w:t>
      </w:r>
      <w:proofErr w:type="spellEnd"/>
      <w:r w:rsidRPr="00664F1E">
        <w:rPr>
          <w:rFonts w:ascii="Cambria" w:hAnsi="Cambria" w:cstheme="majorBidi"/>
          <w:i/>
          <w:sz w:val="24"/>
        </w:rPr>
        <w:t>. ICGER</w:t>
      </w:r>
      <w:r w:rsidRPr="00563305">
        <w:rPr>
          <w:rFonts w:ascii="Cambria" w:hAnsi="Cambria" w:cstheme="majorBidi"/>
          <w:sz w:val="24"/>
        </w:rPr>
        <w:t xml:space="preserve">: The International Conference On Global Economic Revolutions, LNNS, volume 423, </w:t>
      </w:r>
      <w:r>
        <w:rPr>
          <w:rFonts w:ascii="Cambria" w:hAnsi="Cambria" w:cstheme="majorBidi"/>
          <w:sz w:val="24"/>
        </w:rPr>
        <w:t xml:space="preserve">pp. </w:t>
      </w:r>
      <w:r w:rsidRPr="00563305">
        <w:rPr>
          <w:rFonts w:ascii="Cambria" w:hAnsi="Cambria" w:cstheme="majorBidi"/>
          <w:sz w:val="24"/>
        </w:rPr>
        <w:t>15-16</w:t>
      </w:r>
      <w:r>
        <w:rPr>
          <w:rFonts w:ascii="Cambria" w:hAnsi="Cambria" w:cstheme="majorBidi"/>
          <w:sz w:val="24"/>
        </w:rPr>
        <w:t>.</w:t>
      </w:r>
      <w:r w:rsidRPr="00563305">
        <w:rPr>
          <w:rFonts w:ascii="Cambria" w:hAnsi="Cambria" w:cstheme="majorBidi"/>
          <w:sz w:val="24"/>
        </w:rPr>
        <w:t xml:space="preserve"> </w:t>
      </w:r>
    </w:p>
    <w:p w14:paraId="6243FF48"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Abdrakhm</w:t>
      </w:r>
      <w:r>
        <w:rPr>
          <w:rFonts w:ascii="Cambria" w:hAnsi="Cambria" w:cstheme="majorBidi"/>
          <w:sz w:val="24"/>
        </w:rPr>
        <w:t xml:space="preserve">anova, G.I., Vishnevsky, K.O., </w:t>
      </w:r>
      <w:r w:rsidRPr="00563305">
        <w:rPr>
          <w:rFonts w:ascii="Cambria" w:hAnsi="Cambria" w:cstheme="majorBidi"/>
          <w:sz w:val="24"/>
        </w:rPr>
        <w:t>Gohberg</w:t>
      </w:r>
      <w:r>
        <w:rPr>
          <w:rFonts w:ascii="Cambria" w:hAnsi="Cambria" w:cstheme="majorBidi"/>
          <w:sz w:val="24"/>
        </w:rPr>
        <w:t>,</w:t>
      </w:r>
      <w:r w:rsidRPr="00563305">
        <w:rPr>
          <w:rFonts w:ascii="Cambria" w:hAnsi="Cambria" w:cstheme="majorBidi"/>
          <w:sz w:val="24"/>
        </w:rPr>
        <w:t xml:space="preserve"> L.M. and others, 2019. </w:t>
      </w:r>
      <w:r w:rsidRPr="00077D18">
        <w:rPr>
          <w:rFonts w:ascii="Cambria" w:hAnsi="Cambria" w:cstheme="majorBidi"/>
          <w:sz w:val="24"/>
        </w:rPr>
        <w:t xml:space="preserve">Digital economy a brief statistical collection. </w:t>
      </w:r>
      <w:r w:rsidRPr="00563305">
        <w:rPr>
          <w:rFonts w:ascii="Cambria" w:hAnsi="Cambria" w:cstheme="majorBidi"/>
          <w:sz w:val="24"/>
        </w:rPr>
        <w:t xml:space="preserve">National research University. </w:t>
      </w:r>
      <w:r w:rsidRPr="00563305">
        <w:rPr>
          <w:rFonts w:ascii="Cambria" w:hAnsi="Cambria" w:cstheme="majorBidi"/>
          <w:i/>
          <w:sz w:val="24"/>
        </w:rPr>
        <w:t>Higher School of Economics</w:t>
      </w:r>
      <w:r w:rsidRPr="00563305">
        <w:rPr>
          <w:rFonts w:ascii="Cambria" w:hAnsi="Cambria" w:cstheme="majorBidi"/>
          <w:sz w:val="24"/>
        </w:rPr>
        <w:t>. M.: NRU HSE, p.96.</w:t>
      </w:r>
    </w:p>
    <w:p w14:paraId="65A56005" w14:textId="77777777" w:rsidR="00AC6D37" w:rsidRDefault="00AC6D37" w:rsidP="00563305">
      <w:pPr>
        <w:spacing w:after="0"/>
        <w:ind w:left="450" w:hanging="450"/>
        <w:rPr>
          <w:rFonts w:ascii="Cambria" w:hAnsi="Cambria" w:cstheme="majorBidi"/>
          <w:sz w:val="24"/>
        </w:rPr>
      </w:pPr>
      <w:r w:rsidRPr="00563305">
        <w:rPr>
          <w:rFonts w:ascii="Cambria" w:hAnsi="Cambria" w:cstheme="majorBidi"/>
          <w:sz w:val="24"/>
        </w:rPr>
        <w:t>Badvan, N.L., Gasanov, O.S., Kuzminov, A.N., 2018</w:t>
      </w:r>
      <w:r w:rsidRPr="00563305">
        <w:rPr>
          <w:rFonts w:ascii="Cambria" w:hAnsi="Cambria" w:cstheme="majorBidi"/>
          <w:i/>
          <w:sz w:val="24"/>
        </w:rPr>
        <w:t xml:space="preserve">. </w:t>
      </w:r>
      <w:r w:rsidRPr="00077D18">
        <w:rPr>
          <w:rFonts w:ascii="Cambria" w:hAnsi="Cambria" w:cstheme="majorBidi"/>
          <w:sz w:val="24"/>
        </w:rPr>
        <w:t>Cognitive modeling of stability factors of the Russian financial market.</w:t>
      </w:r>
      <w:r w:rsidRPr="00563305">
        <w:rPr>
          <w:rFonts w:ascii="Cambria" w:hAnsi="Cambria" w:cstheme="majorBidi"/>
          <w:i/>
          <w:sz w:val="24"/>
        </w:rPr>
        <w:t xml:space="preserve"> Finance and credit</w:t>
      </w:r>
      <w:r>
        <w:rPr>
          <w:rFonts w:ascii="Cambria" w:hAnsi="Cambria" w:cstheme="majorBidi"/>
          <w:sz w:val="24"/>
        </w:rPr>
        <w:t>. - V.24, No. 5,</w:t>
      </w:r>
      <w:r w:rsidRPr="00563305">
        <w:rPr>
          <w:rFonts w:ascii="Cambria" w:hAnsi="Cambria" w:cstheme="majorBidi"/>
          <w:sz w:val="24"/>
        </w:rPr>
        <w:t xml:space="preserve"> pp. 1131-1148.</w:t>
      </w:r>
    </w:p>
    <w:p w14:paraId="14618B1E" w14:textId="77777777" w:rsidR="00AC6D37" w:rsidRPr="00664F1E" w:rsidRDefault="00AC6D37" w:rsidP="00563305">
      <w:pPr>
        <w:spacing w:after="0"/>
        <w:ind w:left="450" w:hanging="450"/>
        <w:rPr>
          <w:rFonts w:ascii="Cambria" w:hAnsi="Cambria" w:cstheme="majorBidi"/>
          <w:sz w:val="24"/>
        </w:rPr>
      </w:pPr>
      <w:r w:rsidRPr="00563305">
        <w:rPr>
          <w:rFonts w:ascii="Cambria" w:hAnsi="Cambria" w:cstheme="majorBidi"/>
          <w:sz w:val="24"/>
        </w:rPr>
        <w:t>Breiman, L., Friedman, J. H., Olshen, R. A., and Stone, C. J., 2022</w:t>
      </w:r>
      <w:r>
        <w:rPr>
          <w:rFonts w:ascii="Cambria" w:hAnsi="Cambria" w:cstheme="majorBidi"/>
          <w:sz w:val="24"/>
        </w:rPr>
        <w:t>.</w:t>
      </w:r>
      <w:r w:rsidRPr="00563305">
        <w:rPr>
          <w:rFonts w:ascii="Cambria" w:hAnsi="Cambria" w:cstheme="majorBidi"/>
          <w:sz w:val="24"/>
        </w:rPr>
        <w:t xml:space="preserve"> </w:t>
      </w:r>
      <w:r w:rsidRPr="00664F1E">
        <w:rPr>
          <w:rFonts w:ascii="Cambria" w:hAnsi="Cambria" w:cstheme="majorBidi"/>
          <w:sz w:val="24"/>
        </w:rPr>
        <w:t>Classification and regression</w:t>
      </w:r>
    </w:p>
    <w:p w14:paraId="7D22B591" w14:textId="77777777" w:rsidR="00AC6D37" w:rsidRPr="00563305" w:rsidRDefault="00AC6D37" w:rsidP="00563305">
      <w:pPr>
        <w:spacing w:after="0"/>
        <w:ind w:left="450" w:hanging="450"/>
        <w:rPr>
          <w:rFonts w:ascii="Cambria" w:hAnsi="Cambria" w:cstheme="majorBidi"/>
          <w:sz w:val="24"/>
        </w:rPr>
      </w:pPr>
      <w:r w:rsidRPr="00337D48">
        <w:rPr>
          <w:rFonts w:ascii="Cambria" w:hAnsi="Cambria" w:cstheme="majorBidi"/>
          <w:sz w:val="24"/>
          <w:highlight w:val="yellow"/>
        </w:rPr>
        <w:t xml:space="preserve">Burova, </w:t>
      </w:r>
      <w:r>
        <w:rPr>
          <w:rFonts w:ascii="Cambria" w:hAnsi="Cambria" w:cstheme="majorBidi"/>
          <w:sz w:val="24"/>
          <w:highlight w:val="yellow"/>
        </w:rPr>
        <w:t xml:space="preserve">E., </w:t>
      </w:r>
      <w:r w:rsidRPr="00337D48">
        <w:rPr>
          <w:rFonts w:ascii="Cambria" w:hAnsi="Cambria" w:cstheme="majorBidi"/>
          <w:sz w:val="24"/>
          <w:highlight w:val="yellow"/>
        </w:rPr>
        <w:t>Grishunin,</w:t>
      </w:r>
      <w:r>
        <w:rPr>
          <w:rFonts w:ascii="Cambria" w:hAnsi="Cambria" w:cstheme="majorBidi"/>
          <w:sz w:val="24"/>
          <w:highlight w:val="yellow"/>
        </w:rPr>
        <w:t xml:space="preserve"> </w:t>
      </w:r>
      <w:r w:rsidRPr="00337D48">
        <w:rPr>
          <w:rFonts w:ascii="Cambria" w:hAnsi="Cambria" w:cstheme="majorBidi"/>
          <w:sz w:val="24"/>
          <w:highlight w:val="yellow"/>
        </w:rPr>
        <w:t>S</w:t>
      </w:r>
      <w:r>
        <w:rPr>
          <w:rFonts w:ascii="Cambria" w:hAnsi="Cambria" w:cstheme="majorBidi"/>
          <w:sz w:val="24"/>
          <w:highlight w:val="yellow"/>
        </w:rPr>
        <w:t>.,</w:t>
      </w:r>
      <w:r w:rsidRPr="00337D48">
        <w:rPr>
          <w:rFonts w:ascii="Cambria" w:hAnsi="Cambria" w:cstheme="majorBidi"/>
          <w:sz w:val="24"/>
          <w:highlight w:val="yellow"/>
        </w:rPr>
        <w:t xml:space="preserve"> Suloeva,</w:t>
      </w:r>
      <w:r>
        <w:rPr>
          <w:rFonts w:ascii="Cambria" w:hAnsi="Cambria" w:cstheme="majorBidi"/>
          <w:sz w:val="24"/>
          <w:highlight w:val="yellow"/>
        </w:rPr>
        <w:t xml:space="preserve"> </w:t>
      </w:r>
      <w:r w:rsidRPr="00337D48">
        <w:rPr>
          <w:rFonts w:ascii="Cambria" w:hAnsi="Cambria" w:cstheme="majorBidi"/>
          <w:sz w:val="24"/>
          <w:highlight w:val="yellow"/>
        </w:rPr>
        <w:t>S</w:t>
      </w:r>
      <w:r>
        <w:rPr>
          <w:rFonts w:ascii="Cambria" w:hAnsi="Cambria" w:cstheme="majorBidi"/>
          <w:sz w:val="24"/>
          <w:highlight w:val="yellow"/>
        </w:rPr>
        <w:t xml:space="preserve">., </w:t>
      </w:r>
      <w:r w:rsidRPr="00337D48">
        <w:rPr>
          <w:rFonts w:ascii="Cambria" w:hAnsi="Cambria" w:cstheme="majorBidi"/>
          <w:sz w:val="24"/>
          <w:highlight w:val="yellow"/>
        </w:rPr>
        <w:t>Stepanchuk</w:t>
      </w:r>
      <w:r>
        <w:rPr>
          <w:rFonts w:ascii="Cambria" w:hAnsi="Cambria" w:cstheme="majorBidi"/>
          <w:sz w:val="24"/>
        </w:rPr>
        <w:t xml:space="preserve">, A., 2021. </w:t>
      </w:r>
      <w:r w:rsidRPr="00337D48">
        <w:rPr>
          <w:rFonts w:ascii="Cambria" w:hAnsi="Cambria" w:cstheme="majorBidi"/>
          <w:sz w:val="24"/>
          <w:highlight w:val="yellow"/>
        </w:rPr>
        <w:t>The Cost Management of Innovative Products in an Industrial Enterprise Given t</w:t>
      </w:r>
      <w:r>
        <w:rPr>
          <w:rFonts w:ascii="Cambria" w:hAnsi="Cambria" w:cstheme="majorBidi"/>
          <w:sz w:val="24"/>
          <w:highlight w:val="yellow"/>
        </w:rPr>
        <w:t xml:space="preserve">he Risks in the Digital Economy. </w:t>
      </w:r>
      <w:r w:rsidRPr="00337D48">
        <w:rPr>
          <w:highlight w:val="yellow"/>
        </w:rPr>
        <w:t xml:space="preserve"> </w:t>
      </w:r>
      <w:r w:rsidRPr="00E3114C">
        <w:rPr>
          <w:rFonts w:ascii="Cambria" w:hAnsi="Cambria" w:cstheme="majorBidi"/>
          <w:i/>
          <w:sz w:val="24"/>
          <w:highlight w:val="yellow"/>
        </w:rPr>
        <w:t>International Journal of Technology</w:t>
      </w:r>
      <w:r>
        <w:rPr>
          <w:rFonts w:ascii="Cambria" w:hAnsi="Cambria" w:cstheme="majorBidi"/>
          <w:sz w:val="24"/>
          <w:highlight w:val="yellow"/>
        </w:rPr>
        <w:t xml:space="preserve">. </w:t>
      </w:r>
      <w:r w:rsidRPr="00E3114C">
        <w:rPr>
          <w:rFonts w:ascii="Cambria" w:hAnsi="Cambria" w:cstheme="majorBidi"/>
          <w:sz w:val="24"/>
        </w:rPr>
        <w:t>Volume</w:t>
      </w:r>
      <w:r>
        <w:rPr>
          <w:rFonts w:ascii="Cambria" w:hAnsi="Cambria" w:cstheme="majorBidi"/>
          <w:sz w:val="24"/>
          <w:highlight w:val="yellow"/>
        </w:rPr>
        <w:t xml:space="preserve"> 12, No 7, </w:t>
      </w:r>
      <w:r w:rsidRPr="00337D48">
        <w:rPr>
          <w:rFonts w:ascii="Cambria" w:hAnsi="Cambria" w:cstheme="majorBidi"/>
          <w:sz w:val="24"/>
          <w:highlight w:val="yellow"/>
        </w:rPr>
        <w:t>pp.</w:t>
      </w:r>
      <w:r>
        <w:rPr>
          <w:rFonts w:ascii="Cambria" w:hAnsi="Cambria" w:cstheme="majorBidi"/>
          <w:sz w:val="24"/>
          <w:highlight w:val="yellow"/>
        </w:rPr>
        <w:t xml:space="preserve"> </w:t>
      </w:r>
      <w:r w:rsidRPr="009627E0">
        <w:rPr>
          <w:rFonts w:ascii="Cambria" w:hAnsi="Cambria" w:cstheme="majorBidi"/>
          <w:sz w:val="24"/>
          <w:highlight w:val="yellow"/>
        </w:rPr>
        <w:t>1339-1348</w:t>
      </w:r>
      <w:r>
        <w:rPr>
          <w:rFonts w:ascii="Cambria" w:hAnsi="Cambria" w:cstheme="majorBidi"/>
          <w:sz w:val="24"/>
        </w:rPr>
        <w:t>.</w:t>
      </w:r>
    </w:p>
    <w:p w14:paraId="379C7A4E" w14:textId="77777777" w:rsidR="00AC6D37" w:rsidRDefault="00AC6D37" w:rsidP="00563305">
      <w:pPr>
        <w:spacing w:after="0"/>
        <w:ind w:left="450" w:hanging="450"/>
        <w:rPr>
          <w:rFonts w:ascii="Cambria" w:hAnsi="Cambria" w:cstheme="majorBidi"/>
          <w:sz w:val="24"/>
        </w:rPr>
      </w:pPr>
      <w:r w:rsidRPr="00563305">
        <w:rPr>
          <w:rFonts w:ascii="Cambria" w:hAnsi="Cambria" w:cstheme="majorBidi"/>
          <w:sz w:val="24"/>
        </w:rPr>
        <w:t xml:space="preserve">Emelianenko, A.S., Kolesnik, D.V., 2019. </w:t>
      </w:r>
      <w:r w:rsidRPr="00E3114C">
        <w:rPr>
          <w:rFonts w:ascii="Cambria" w:hAnsi="Cambria" w:cstheme="majorBidi"/>
          <w:sz w:val="24"/>
        </w:rPr>
        <w:t>The process of constructing cognitive maps.</w:t>
      </w:r>
      <w:r w:rsidRPr="00563305">
        <w:rPr>
          <w:rFonts w:ascii="Cambria" w:hAnsi="Cambria" w:cstheme="majorBidi"/>
          <w:sz w:val="24"/>
        </w:rPr>
        <w:t xml:space="preserve"> </w:t>
      </w:r>
      <w:r w:rsidRPr="00563305">
        <w:rPr>
          <w:rFonts w:ascii="Cambria" w:hAnsi="Cambria" w:cstheme="majorBidi"/>
          <w:i/>
          <w:sz w:val="24"/>
        </w:rPr>
        <w:t>Issues of student science</w:t>
      </w:r>
      <w:r>
        <w:rPr>
          <w:rFonts w:ascii="Cambria" w:hAnsi="Cambria" w:cstheme="majorBidi"/>
          <w:sz w:val="24"/>
        </w:rPr>
        <w:t>. No. 12(40),</w:t>
      </w:r>
      <w:r w:rsidRPr="00563305">
        <w:rPr>
          <w:rFonts w:ascii="Cambria" w:hAnsi="Cambria" w:cstheme="majorBidi"/>
          <w:sz w:val="24"/>
        </w:rPr>
        <w:t xml:space="preserve"> pp. 309-316.</w:t>
      </w:r>
    </w:p>
    <w:p w14:paraId="090CDB48"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lastRenderedPageBreak/>
        <w:t xml:space="preserve">Hengxu, L., Dong, Z., Weiqing, L. and Jiang, B., 2021. </w:t>
      </w:r>
      <w:r w:rsidRPr="00664F1E">
        <w:rPr>
          <w:rFonts w:ascii="Cambria" w:hAnsi="Cambria" w:cstheme="majorBidi"/>
          <w:sz w:val="24"/>
        </w:rPr>
        <w:t xml:space="preserve">Deep Risk Model: A Deep Learning Solution for Mining Latent Risk Factors to Improve Covariance Matrix Estimation. </w:t>
      </w:r>
      <w:r w:rsidRPr="00563305">
        <w:rPr>
          <w:rFonts w:ascii="Cambria" w:hAnsi="Cambria" w:cstheme="majorBidi"/>
          <w:sz w:val="24"/>
        </w:rPr>
        <w:t xml:space="preserve"> I</w:t>
      </w:r>
      <w:r w:rsidRPr="00664F1E">
        <w:rPr>
          <w:rFonts w:ascii="Cambria" w:hAnsi="Cambria" w:cstheme="majorBidi"/>
          <w:i/>
          <w:sz w:val="24"/>
        </w:rPr>
        <w:t xml:space="preserve">CAIF’21. November 3–5. Virtual Event. </w:t>
      </w:r>
      <w:r w:rsidRPr="00563305">
        <w:rPr>
          <w:rFonts w:ascii="Cambria" w:hAnsi="Cambria" w:cstheme="majorBidi"/>
          <w:sz w:val="24"/>
        </w:rPr>
        <w:t xml:space="preserve">USA </w:t>
      </w:r>
      <w:hyperlink r:id="rId15" w:history="1">
        <w:r w:rsidRPr="00563305">
          <w:rPr>
            <w:rStyle w:val="a3"/>
            <w:rFonts w:ascii="Cambria" w:hAnsi="Cambria" w:cstheme="majorBidi"/>
            <w:sz w:val="24"/>
          </w:rPr>
          <w:t>https://arxiv.org/format/2107.05201</w:t>
        </w:r>
      </w:hyperlink>
      <w:r w:rsidRPr="00563305">
        <w:rPr>
          <w:rFonts w:ascii="Cambria" w:hAnsi="Cambria" w:cstheme="majorBidi"/>
          <w:sz w:val="24"/>
        </w:rPr>
        <w:t xml:space="preserve"> Accessed on October 20, 2022.</w:t>
      </w:r>
    </w:p>
    <w:p w14:paraId="4D44FD92"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 xml:space="preserve">Loktionova, E.A., 2022. </w:t>
      </w:r>
      <w:r w:rsidRPr="00077D18">
        <w:rPr>
          <w:rFonts w:ascii="Cambria" w:hAnsi="Cambria" w:cstheme="majorBidi"/>
          <w:sz w:val="24"/>
        </w:rPr>
        <w:t>Cognitive model of the national financial market: features of construction and the possibility of using it to assess the security of its functioning.</w:t>
      </w:r>
      <w:r w:rsidRPr="00563305">
        <w:rPr>
          <w:rFonts w:ascii="Cambria" w:hAnsi="Cambria" w:cstheme="majorBidi"/>
          <w:sz w:val="24"/>
        </w:rPr>
        <w:t xml:space="preserve">  </w:t>
      </w:r>
      <w:r w:rsidRPr="00563305">
        <w:rPr>
          <w:rFonts w:ascii="Cambria" w:hAnsi="Cambria" w:cstheme="majorBidi"/>
          <w:i/>
          <w:sz w:val="24"/>
        </w:rPr>
        <w:t>Finance: theory and practice</w:t>
      </w:r>
      <w:r w:rsidRPr="00563305">
        <w:rPr>
          <w:rFonts w:ascii="Cambria" w:hAnsi="Cambria" w:cstheme="majorBidi"/>
          <w:sz w:val="24"/>
        </w:rPr>
        <w:t>. t-</w:t>
      </w:r>
      <w:r>
        <w:rPr>
          <w:rFonts w:ascii="Cambria" w:hAnsi="Cambria" w:cstheme="majorBidi"/>
          <w:sz w:val="24"/>
        </w:rPr>
        <w:t xml:space="preserve"> 26, No. 1,</w:t>
      </w:r>
      <w:r w:rsidRPr="00563305">
        <w:rPr>
          <w:rFonts w:ascii="Cambria" w:hAnsi="Cambria" w:cstheme="majorBidi"/>
          <w:sz w:val="24"/>
        </w:rPr>
        <w:t xml:space="preserve"> pp.</w:t>
      </w:r>
      <w:r>
        <w:rPr>
          <w:rFonts w:ascii="Cambria" w:hAnsi="Cambria" w:cstheme="majorBidi"/>
          <w:sz w:val="24"/>
        </w:rPr>
        <w:t xml:space="preserve"> </w:t>
      </w:r>
      <w:r w:rsidRPr="00563305">
        <w:rPr>
          <w:rFonts w:ascii="Cambria" w:hAnsi="Cambria" w:cstheme="majorBidi"/>
          <w:sz w:val="24"/>
        </w:rPr>
        <w:t xml:space="preserve">126-132. </w:t>
      </w:r>
    </w:p>
    <w:p w14:paraId="6AC0AE84"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 xml:space="preserve">Lomakin, N., Lukyanov, G., Vodopyanova, N., Gontar, A., Goncharova, E. and Voblenko, E., 2019.  </w:t>
      </w:r>
      <w:r w:rsidRPr="00664F1E">
        <w:rPr>
          <w:rFonts w:ascii="Cambria" w:hAnsi="Cambria" w:cstheme="majorBidi"/>
          <w:sz w:val="24"/>
        </w:rPr>
        <w:t>Neural network model of interaction between real economy sector entrepreneurship and financial field under risk.</w:t>
      </w:r>
      <w:r w:rsidRPr="00563305">
        <w:rPr>
          <w:rFonts w:ascii="Cambria" w:hAnsi="Cambria" w:cstheme="majorBidi"/>
          <w:i/>
          <w:sz w:val="24"/>
        </w:rPr>
        <w:t xml:space="preserve"> Advances in Economics. Business and Management Research</w:t>
      </w:r>
      <w:r w:rsidRPr="00563305">
        <w:rPr>
          <w:rFonts w:ascii="Cambria" w:hAnsi="Cambria" w:cstheme="majorBidi"/>
          <w:sz w:val="24"/>
        </w:rPr>
        <w:t xml:space="preserve">. </w:t>
      </w:r>
      <w:r w:rsidRPr="00664F1E">
        <w:rPr>
          <w:rFonts w:ascii="Cambria" w:hAnsi="Cambria" w:cstheme="majorBidi"/>
          <w:i/>
          <w:sz w:val="24"/>
        </w:rPr>
        <w:t xml:space="preserve">volume 83. 2nd International Scientific Conference on </w:t>
      </w:r>
      <w:r w:rsidRPr="00563305">
        <w:rPr>
          <w:rFonts w:ascii="Cambria" w:hAnsi="Cambria" w:cstheme="majorBidi"/>
          <w:sz w:val="24"/>
        </w:rPr>
        <w:t>‘</w:t>
      </w:r>
      <w:r w:rsidRPr="00563305">
        <w:rPr>
          <w:rFonts w:ascii="Cambria" w:hAnsi="Cambria" w:cstheme="majorBidi"/>
          <w:i/>
          <w:sz w:val="24"/>
        </w:rPr>
        <w:t>Competitive. Sustainable and Safe Development of the Regional Economy</w:t>
      </w:r>
      <w:r w:rsidRPr="00563305">
        <w:rPr>
          <w:rFonts w:ascii="Cambria" w:hAnsi="Cambria" w:cstheme="majorBidi"/>
          <w:sz w:val="24"/>
        </w:rPr>
        <w:t xml:space="preserve">’ </w:t>
      </w:r>
      <w:r w:rsidRPr="00664F1E">
        <w:rPr>
          <w:rFonts w:ascii="Cambria" w:hAnsi="Cambria" w:cstheme="majorBidi"/>
          <w:i/>
          <w:sz w:val="24"/>
        </w:rPr>
        <w:t>(CSSDRE 2019)</w:t>
      </w:r>
      <w:r w:rsidRPr="00563305">
        <w:rPr>
          <w:rFonts w:ascii="Cambria" w:hAnsi="Cambria" w:cstheme="majorBidi"/>
          <w:sz w:val="24"/>
        </w:rPr>
        <w:t xml:space="preserve"> </w:t>
      </w:r>
      <w:hyperlink r:id="rId16" w:history="1">
        <w:r w:rsidRPr="00563305">
          <w:rPr>
            <w:rStyle w:val="a3"/>
            <w:rFonts w:ascii="Cambria" w:hAnsi="Cambria" w:cstheme="majorBidi"/>
            <w:sz w:val="24"/>
          </w:rPr>
          <w:t>http://creativecommons.org/licenses/by-nc/4.0/</w:t>
        </w:r>
      </w:hyperlink>
      <w:r w:rsidRPr="00563305">
        <w:rPr>
          <w:rFonts w:ascii="Cambria" w:hAnsi="Cambria" w:cstheme="majorBidi"/>
          <w:sz w:val="24"/>
        </w:rPr>
        <w:t xml:space="preserve"> Accessed on October 20, 2022.</w:t>
      </w:r>
    </w:p>
    <w:p w14:paraId="7CF3EE0B"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Louppe</w:t>
      </w:r>
      <w:r>
        <w:rPr>
          <w:rFonts w:ascii="Cambria" w:hAnsi="Cambria" w:cstheme="majorBidi"/>
          <w:sz w:val="24"/>
        </w:rPr>
        <w:t>,</w:t>
      </w:r>
      <w:r w:rsidRPr="00563305">
        <w:rPr>
          <w:rFonts w:ascii="Cambria" w:hAnsi="Cambria" w:cstheme="majorBidi"/>
          <w:sz w:val="24"/>
        </w:rPr>
        <w:t xml:space="preserve"> G., Wehenkel</w:t>
      </w:r>
      <w:r>
        <w:rPr>
          <w:rFonts w:ascii="Cambria" w:hAnsi="Cambria" w:cstheme="majorBidi"/>
          <w:sz w:val="24"/>
        </w:rPr>
        <w:t>,</w:t>
      </w:r>
      <w:r w:rsidRPr="00563305">
        <w:rPr>
          <w:rFonts w:ascii="Cambria" w:hAnsi="Cambria" w:cstheme="majorBidi"/>
          <w:sz w:val="24"/>
        </w:rPr>
        <w:t xml:space="preserve"> L., Sutera</w:t>
      </w:r>
      <w:r>
        <w:rPr>
          <w:rFonts w:ascii="Cambria" w:hAnsi="Cambria" w:cstheme="majorBidi"/>
          <w:sz w:val="24"/>
        </w:rPr>
        <w:t>,</w:t>
      </w:r>
      <w:r w:rsidRPr="00563305">
        <w:rPr>
          <w:rFonts w:ascii="Cambria" w:hAnsi="Cambria" w:cstheme="majorBidi"/>
          <w:sz w:val="24"/>
        </w:rPr>
        <w:t xml:space="preserve"> A. and Geurts</w:t>
      </w:r>
      <w:r>
        <w:rPr>
          <w:rFonts w:ascii="Cambria" w:hAnsi="Cambria" w:cstheme="majorBidi"/>
          <w:sz w:val="24"/>
        </w:rPr>
        <w:t>,</w:t>
      </w:r>
      <w:r w:rsidRPr="00563305">
        <w:rPr>
          <w:rFonts w:ascii="Cambria" w:hAnsi="Cambria" w:cstheme="majorBidi"/>
          <w:sz w:val="24"/>
        </w:rPr>
        <w:t xml:space="preserve"> P., 2020. </w:t>
      </w:r>
      <w:r w:rsidRPr="00664F1E">
        <w:rPr>
          <w:rFonts w:ascii="Cambria" w:hAnsi="Cambria" w:cstheme="majorBidi"/>
          <w:sz w:val="24"/>
        </w:rPr>
        <w:t>Understanding variable importances in forests of randomized trees.</w:t>
      </w:r>
      <w:r w:rsidRPr="00563305">
        <w:rPr>
          <w:rFonts w:ascii="Cambria" w:hAnsi="Cambria" w:cstheme="majorBidi"/>
          <w:i/>
          <w:sz w:val="24"/>
        </w:rPr>
        <w:t xml:space="preserve"> P.</w:t>
      </w:r>
      <w:r>
        <w:rPr>
          <w:rFonts w:ascii="Cambria" w:hAnsi="Cambria" w:cstheme="majorBidi"/>
          <w:i/>
          <w:sz w:val="24"/>
        </w:rPr>
        <w:t xml:space="preserve"> </w:t>
      </w:r>
      <w:r w:rsidRPr="00563305">
        <w:rPr>
          <w:rFonts w:ascii="Cambria" w:hAnsi="Cambria" w:cstheme="majorBidi"/>
          <w:i/>
          <w:sz w:val="24"/>
        </w:rPr>
        <w:t>9-10</w:t>
      </w:r>
      <w:r w:rsidRPr="00563305">
        <w:rPr>
          <w:rFonts w:ascii="Cambria" w:hAnsi="Cambria" w:cstheme="majorBidi"/>
          <w:sz w:val="24"/>
        </w:rPr>
        <w:t xml:space="preserve"> </w:t>
      </w:r>
      <w:hyperlink r:id="rId17" w:history="1">
        <w:r w:rsidRPr="00563305">
          <w:rPr>
            <w:rStyle w:val="a3"/>
            <w:rFonts w:ascii="Cambria" w:hAnsi="Cambria" w:cstheme="majorBidi"/>
            <w:sz w:val="24"/>
          </w:rPr>
          <w:t>https://proceedings.neurips.cc/paper/2013/file/e3796ae838835da0b6f6ea37bcf8bcb7-Paper.pdf</w:t>
        </w:r>
      </w:hyperlink>
      <w:r w:rsidRPr="00563305">
        <w:rPr>
          <w:rFonts w:ascii="Cambria" w:hAnsi="Cambria" w:cstheme="majorBidi"/>
          <w:sz w:val="24"/>
        </w:rPr>
        <w:t xml:space="preserve"> Accessed on October 31, 2022.</w:t>
      </w:r>
    </w:p>
    <w:p w14:paraId="35001202" w14:textId="77777777" w:rsidR="00AC6D37" w:rsidRDefault="00AC6D37" w:rsidP="00563305">
      <w:pPr>
        <w:spacing w:after="0"/>
        <w:ind w:left="450" w:hanging="450"/>
        <w:rPr>
          <w:rFonts w:ascii="Cambria" w:hAnsi="Cambria" w:cstheme="majorBidi"/>
          <w:sz w:val="24"/>
        </w:rPr>
      </w:pPr>
      <w:r w:rsidRPr="00563305">
        <w:rPr>
          <w:rFonts w:ascii="Cambria" w:hAnsi="Cambria" w:cstheme="majorBidi"/>
          <w:sz w:val="24"/>
        </w:rPr>
        <w:t>Matokhina, A.V. et al., 2015.</w:t>
      </w:r>
      <w:r>
        <w:rPr>
          <w:rFonts w:ascii="Cambria" w:hAnsi="Cambria" w:cstheme="majorBidi"/>
          <w:sz w:val="24"/>
        </w:rPr>
        <w:t xml:space="preserve"> </w:t>
      </w:r>
      <w:r w:rsidRPr="00664F1E">
        <w:rPr>
          <w:rFonts w:ascii="Cambria" w:hAnsi="Cambria" w:cstheme="majorBidi"/>
          <w:sz w:val="24"/>
        </w:rPr>
        <w:t>Workshop on knowledge management systems in organizational, economic and production and technical systems</w:t>
      </w:r>
      <w:r w:rsidRPr="00563305">
        <w:rPr>
          <w:rFonts w:ascii="Cambria" w:hAnsi="Cambria" w:cstheme="majorBidi"/>
          <w:i/>
          <w:sz w:val="24"/>
        </w:rPr>
        <w:t>.</w:t>
      </w:r>
      <w:r w:rsidRPr="00563305">
        <w:rPr>
          <w:rFonts w:ascii="Cambria" w:hAnsi="Cambria" w:cstheme="majorBidi"/>
          <w:sz w:val="24"/>
        </w:rPr>
        <w:t xml:space="preserve"> </w:t>
      </w:r>
      <w:r w:rsidRPr="00664F1E">
        <w:rPr>
          <w:rFonts w:ascii="Cambria" w:hAnsi="Cambria" w:cstheme="majorBidi"/>
          <w:sz w:val="24"/>
        </w:rPr>
        <w:t>Part 1.</w:t>
      </w:r>
      <w:r w:rsidRPr="00563305">
        <w:rPr>
          <w:rFonts w:ascii="Cambria" w:hAnsi="Cambria" w:cstheme="majorBidi"/>
          <w:i/>
          <w:sz w:val="24"/>
        </w:rPr>
        <w:t xml:space="preserve"> Textbook. VolgGTU</w:t>
      </w:r>
      <w:r w:rsidRPr="00563305">
        <w:rPr>
          <w:rFonts w:ascii="Cambria" w:hAnsi="Cambria" w:cstheme="majorBidi"/>
          <w:sz w:val="24"/>
        </w:rPr>
        <w:t>. Volgograd. p. 141.</w:t>
      </w:r>
    </w:p>
    <w:p w14:paraId="5EBFB3DC" w14:textId="77777777" w:rsidR="00AC6D37" w:rsidRPr="009B4BE9" w:rsidRDefault="00AC6D37" w:rsidP="009B4BE9">
      <w:pPr>
        <w:spacing w:after="0"/>
        <w:ind w:left="450" w:hanging="450"/>
        <w:rPr>
          <w:rFonts w:ascii="Cambria" w:hAnsi="Cambria" w:cstheme="majorBidi"/>
          <w:sz w:val="24"/>
        </w:rPr>
      </w:pPr>
      <w:r>
        <w:rPr>
          <w:rFonts w:ascii="Cambria" w:hAnsi="Cambria" w:cstheme="majorBidi"/>
          <w:sz w:val="24"/>
          <w:highlight w:val="yellow"/>
        </w:rPr>
        <w:t xml:space="preserve">Mohammed, A., </w:t>
      </w:r>
      <w:r w:rsidRPr="009B4BE9">
        <w:rPr>
          <w:rFonts w:ascii="Cambria" w:hAnsi="Cambria" w:cstheme="majorBidi"/>
          <w:sz w:val="24"/>
          <w:highlight w:val="yellow"/>
        </w:rPr>
        <w:t>2020</w:t>
      </w:r>
      <w:r>
        <w:rPr>
          <w:rFonts w:ascii="Cambria" w:hAnsi="Cambria" w:cstheme="majorBidi"/>
          <w:sz w:val="24"/>
          <w:highlight w:val="yellow"/>
        </w:rPr>
        <w:t>.</w:t>
      </w:r>
      <w:r w:rsidRPr="009B4BE9">
        <w:rPr>
          <w:rFonts w:ascii="Cambria" w:hAnsi="Cambria" w:cstheme="majorBidi"/>
          <w:sz w:val="24"/>
          <w:highlight w:val="yellow"/>
        </w:rPr>
        <w:t xml:space="preserve"> Managing Artificial Intelligence Technology for Added Value</w:t>
      </w:r>
      <w:r>
        <w:rPr>
          <w:rFonts w:ascii="Cambria" w:hAnsi="Cambria" w:cstheme="majorBidi"/>
          <w:sz w:val="24"/>
        </w:rPr>
        <w:t xml:space="preserve">. </w:t>
      </w:r>
      <w:r w:rsidRPr="009B4BE9">
        <w:rPr>
          <w:rFonts w:ascii="Cambria" w:hAnsi="Cambria" w:cstheme="majorBidi"/>
          <w:i/>
          <w:sz w:val="24"/>
          <w:highlight w:val="yellow"/>
        </w:rPr>
        <w:t xml:space="preserve">International Journal of Technology </w:t>
      </w:r>
      <w:r w:rsidRPr="00E3114C">
        <w:rPr>
          <w:rFonts w:ascii="Cambria" w:hAnsi="Cambria" w:cstheme="majorBidi"/>
          <w:sz w:val="24"/>
        </w:rPr>
        <w:t>Volume</w:t>
      </w:r>
      <w:r>
        <w:rPr>
          <w:rFonts w:ascii="Cambria" w:hAnsi="Cambria" w:cstheme="majorBidi"/>
          <w:sz w:val="24"/>
          <w:highlight w:val="yellow"/>
        </w:rPr>
        <w:t xml:space="preserve"> 11, No 1, </w:t>
      </w:r>
      <w:r w:rsidRPr="009B4BE9">
        <w:rPr>
          <w:rFonts w:ascii="Cambria" w:hAnsi="Cambria" w:cstheme="majorBidi"/>
          <w:sz w:val="24"/>
          <w:highlight w:val="yellow"/>
        </w:rPr>
        <w:t>pp.</w:t>
      </w:r>
      <w:r w:rsidRPr="009B4BE9">
        <w:rPr>
          <w:highlight w:val="yellow"/>
        </w:rPr>
        <w:t xml:space="preserve"> </w:t>
      </w:r>
      <w:r w:rsidRPr="009B4BE9">
        <w:rPr>
          <w:rFonts w:ascii="Cambria" w:hAnsi="Cambria" w:cstheme="majorBidi"/>
          <w:sz w:val="24"/>
          <w:highlight w:val="yellow"/>
        </w:rPr>
        <w:t>1-4</w:t>
      </w:r>
      <w:r>
        <w:rPr>
          <w:rFonts w:ascii="Cambria" w:hAnsi="Cambria" w:cstheme="majorBidi"/>
          <w:sz w:val="24"/>
          <w:highlight w:val="yellow"/>
        </w:rPr>
        <w:t>.</w:t>
      </w:r>
    </w:p>
    <w:p w14:paraId="7B63F6A7"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Morozova, T.V., Polyanskaya, T., Zasenko, V.E., Zarubin, V.I. and Verchenko Y.K., 20</w:t>
      </w:r>
      <w:r>
        <w:rPr>
          <w:rFonts w:ascii="Cambria" w:hAnsi="Cambria" w:cstheme="majorBidi"/>
          <w:sz w:val="24"/>
        </w:rPr>
        <w:t>22</w:t>
      </w:r>
      <w:r w:rsidRPr="00563305">
        <w:rPr>
          <w:rFonts w:ascii="Cambria" w:hAnsi="Cambria" w:cstheme="majorBidi"/>
          <w:sz w:val="24"/>
        </w:rPr>
        <w:t xml:space="preserve">. </w:t>
      </w:r>
      <w:r w:rsidRPr="00664F1E">
        <w:rPr>
          <w:rFonts w:ascii="Cambria" w:hAnsi="Cambria" w:cstheme="majorBidi"/>
          <w:sz w:val="24"/>
        </w:rPr>
        <w:t>Economic Analysis in the Financial.</w:t>
      </w:r>
      <w:r w:rsidRPr="00563305">
        <w:rPr>
          <w:rFonts w:ascii="Cambria" w:hAnsi="Cambria" w:cstheme="majorBidi"/>
          <w:i/>
          <w:sz w:val="24"/>
        </w:rPr>
        <w:t xml:space="preserve"> Management System</w:t>
      </w:r>
      <w:r w:rsidRPr="00563305">
        <w:rPr>
          <w:rFonts w:ascii="Cambria" w:hAnsi="Cambria" w:cstheme="majorBidi"/>
          <w:sz w:val="24"/>
        </w:rPr>
        <w:t xml:space="preserve">. Volume 15. - P. 117-124 </w:t>
      </w:r>
    </w:p>
    <w:p w14:paraId="44FA6EE9" w14:textId="77777777" w:rsidR="00AC6D37" w:rsidRPr="009627E0" w:rsidRDefault="00AC6D37" w:rsidP="00664F1E">
      <w:pPr>
        <w:pStyle w:val="TEXTs"/>
        <w:spacing w:after="0"/>
        <w:ind w:left="426" w:right="280" w:hanging="426"/>
        <w:rPr>
          <w:rFonts w:ascii="Cambria" w:hAnsi="Cambria"/>
          <w:bCs/>
          <w:kern w:val="28"/>
          <w:sz w:val="24"/>
        </w:rPr>
      </w:pPr>
      <w:r w:rsidRPr="00337D48">
        <w:rPr>
          <w:rFonts w:ascii="Cambria" w:hAnsi="Cambria"/>
          <w:bCs/>
          <w:kern w:val="28"/>
          <w:sz w:val="24"/>
          <w:highlight w:val="yellow"/>
          <w:lang w:val="id-ID"/>
        </w:rPr>
        <w:t>Nadezhina</w:t>
      </w:r>
      <w:r>
        <w:rPr>
          <w:rFonts w:ascii="Cambria" w:hAnsi="Cambria"/>
          <w:bCs/>
          <w:kern w:val="28"/>
          <w:sz w:val="24"/>
        </w:rPr>
        <w:t xml:space="preserve"> O., </w:t>
      </w:r>
      <w:r>
        <w:rPr>
          <w:rFonts w:ascii="Cambria" w:hAnsi="Cambria"/>
          <w:bCs/>
          <w:kern w:val="28"/>
          <w:sz w:val="24"/>
          <w:highlight w:val="yellow"/>
          <w:lang w:val="id-ID"/>
        </w:rPr>
        <w:t>Zaretskaya</w:t>
      </w:r>
      <w:r w:rsidRPr="00337D48">
        <w:rPr>
          <w:rFonts w:ascii="Cambria" w:hAnsi="Cambria"/>
          <w:bCs/>
          <w:kern w:val="28"/>
          <w:sz w:val="24"/>
          <w:highlight w:val="yellow"/>
          <w:lang w:val="id-ID"/>
        </w:rPr>
        <w:t>,</w:t>
      </w:r>
      <w:r>
        <w:rPr>
          <w:rFonts w:ascii="Cambria" w:hAnsi="Cambria"/>
          <w:bCs/>
          <w:kern w:val="28"/>
          <w:sz w:val="24"/>
          <w:highlight w:val="yellow"/>
        </w:rPr>
        <w:t xml:space="preserve"> </w:t>
      </w:r>
      <w:r w:rsidRPr="00337D48">
        <w:rPr>
          <w:rFonts w:ascii="Cambria" w:hAnsi="Cambria"/>
          <w:bCs/>
          <w:kern w:val="28"/>
          <w:sz w:val="24"/>
          <w:highlight w:val="yellow"/>
          <w:lang w:val="id-ID"/>
        </w:rPr>
        <w:t>V</w:t>
      </w:r>
      <w:r>
        <w:rPr>
          <w:rFonts w:ascii="Cambria" w:hAnsi="Cambria"/>
          <w:bCs/>
          <w:kern w:val="28"/>
          <w:sz w:val="24"/>
          <w:highlight w:val="yellow"/>
        </w:rPr>
        <w:t>.,</w:t>
      </w:r>
      <w:r w:rsidRPr="00337D48">
        <w:rPr>
          <w:rFonts w:ascii="Cambria" w:hAnsi="Cambria"/>
          <w:bCs/>
          <w:kern w:val="28"/>
          <w:sz w:val="24"/>
          <w:highlight w:val="yellow"/>
          <w:lang w:val="id-ID"/>
        </w:rPr>
        <w:t xml:space="preserve"> Vertakova,</w:t>
      </w:r>
      <w:r>
        <w:rPr>
          <w:rFonts w:ascii="Cambria" w:hAnsi="Cambria"/>
          <w:bCs/>
          <w:kern w:val="28"/>
          <w:sz w:val="24"/>
          <w:highlight w:val="yellow"/>
        </w:rPr>
        <w:t xml:space="preserve"> </w:t>
      </w:r>
      <w:r w:rsidRPr="00337D48">
        <w:rPr>
          <w:rFonts w:ascii="Cambria" w:hAnsi="Cambria"/>
          <w:bCs/>
          <w:kern w:val="28"/>
          <w:sz w:val="24"/>
          <w:highlight w:val="yellow"/>
          <w:lang w:val="id-ID"/>
        </w:rPr>
        <w:t>Y</w:t>
      </w:r>
      <w:r>
        <w:rPr>
          <w:rFonts w:ascii="Cambria" w:hAnsi="Cambria"/>
          <w:bCs/>
          <w:kern w:val="28"/>
          <w:sz w:val="24"/>
          <w:highlight w:val="yellow"/>
        </w:rPr>
        <w:t xml:space="preserve">., </w:t>
      </w:r>
      <w:r w:rsidRPr="00337D48">
        <w:rPr>
          <w:rFonts w:ascii="Cambria" w:hAnsi="Cambria"/>
          <w:bCs/>
          <w:kern w:val="28"/>
          <w:sz w:val="24"/>
          <w:highlight w:val="yellow"/>
          <w:lang w:val="id-ID"/>
        </w:rPr>
        <w:t>Plotnikov, V</w:t>
      </w:r>
      <w:r>
        <w:rPr>
          <w:rFonts w:ascii="Cambria" w:hAnsi="Cambria"/>
          <w:bCs/>
          <w:kern w:val="28"/>
          <w:sz w:val="24"/>
          <w:highlight w:val="yellow"/>
        </w:rPr>
        <w:t xml:space="preserve">., </w:t>
      </w:r>
      <w:r w:rsidRPr="00337D48">
        <w:rPr>
          <w:rFonts w:ascii="Cambria" w:hAnsi="Cambria"/>
          <w:bCs/>
          <w:kern w:val="28"/>
          <w:sz w:val="24"/>
          <w:highlight w:val="yellow"/>
          <w:lang w:val="id-ID"/>
        </w:rPr>
        <w:t>Burkaltseva</w:t>
      </w:r>
      <w:r>
        <w:rPr>
          <w:rFonts w:ascii="Cambria" w:hAnsi="Cambria"/>
          <w:bCs/>
          <w:kern w:val="28"/>
          <w:sz w:val="24"/>
          <w:highlight w:val="yellow"/>
        </w:rPr>
        <w:t xml:space="preserve">, </w:t>
      </w:r>
      <w:r w:rsidRPr="00337D48">
        <w:rPr>
          <w:rFonts w:ascii="Cambria" w:hAnsi="Cambria"/>
          <w:bCs/>
          <w:kern w:val="28"/>
          <w:sz w:val="24"/>
          <w:highlight w:val="yellow"/>
          <w:lang w:val="id-ID"/>
        </w:rPr>
        <w:t>D</w:t>
      </w:r>
      <w:r>
        <w:rPr>
          <w:rFonts w:ascii="Cambria" w:hAnsi="Cambria"/>
          <w:bCs/>
          <w:kern w:val="28"/>
          <w:sz w:val="24"/>
          <w:highlight w:val="yellow"/>
        </w:rPr>
        <w:t>.,</w:t>
      </w:r>
      <w:r w:rsidRPr="00337D48">
        <w:rPr>
          <w:rFonts w:ascii="Cambria" w:hAnsi="Cambria"/>
          <w:bCs/>
          <w:kern w:val="28"/>
          <w:sz w:val="24"/>
          <w:highlight w:val="yellow"/>
          <w:lang w:val="id-ID"/>
        </w:rPr>
        <w:t xml:space="preserve"> </w:t>
      </w:r>
      <w:r>
        <w:rPr>
          <w:rFonts w:ascii="Cambria" w:hAnsi="Cambria"/>
          <w:bCs/>
          <w:kern w:val="28"/>
          <w:sz w:val="24"/>
          <w:highlight w:val="yellow"/>
        </w:rPr>
        <w:t xml:space="preserve">2021. </w:t>
      </w:r>
      <w:r w:rsidRPr="00337D48">
        <w:rPr>
          <w:rFonts w:ascii="Cambria" w:hAnsi="Cambria"/>
          <w:bCs/>
          <w:kern w:val="28"/>
          <w:sz w:val="24"/>
          <w:highlight w:val="yellow"/>
          <w:lang w:val="id-ID"/>
        </w:rPr>
        <w:t>European Integration Risks in the Context of the COVID-19 Pandemic</w:t>
      </w:r>
      <w:r>
        <w:rPr>
          <w:rFonts w:ascii="Cambria" w:hAnsi="Cambria"/>
          <w:bCs/>
          <w:kern w:val="28"/>
          <w:sz w:val="24"/>
          <w:highlight w:val="yellow"/>
        </w:rPr>
        <w:t xml:space="preserve">. </w:t>
      </w:r>
      <w:r w:rsidRPr="00E3114C">
        <w:rPr>
          <w:rFonts w:ascii="Cambria" w:hAnsi="Cambria"/>
          <w:bCs/>
          <w:i/>
          <w:kern w:val="28"/>
          <w:sz w:val="24"/>
          <w:highlight w:val="yellow"/>
          <w:lang w:val="id-ID"/>
        </w:rPr>
        <w:t>International Journal of Technology</w:t>
      </w:r>
      <w:r>
        <w:rPr>
          <w:rFonts w:ascii="Cambria" w:hAnsi="Cambria"/>
          <w:bCs/>
          <w:kern w:val="28"/>
          <w:sz w:val="24"/>
          <w:highlight w:val="yellow"/>
          <w:lang w:val="id-ID"/>
        </w:rPr>
        <w:t xml:space="preserve">. </w:t>
      </w:r>
      <w:r w:rsidRPr="00E3114C">
        <w:rPr>
          <w:rFonts w:ascii="Cambria" w:hAnsi="Cambria" w:cstheme="majorBidi"/>
          <w:sz w:val="24"/>
        </w:rPr>
        <w:t>Volume</w:t>
      </w:r>
      <w:r>
        <w:rPr>
          <w:rFonts w:ascii="Cambria" w:hAnsi="Cambria"/>
          <w:bCs/>
          <w:kern w:val="28"/>
          <w:sz w:val="24"/>
          <w:highlight w:val="yellow"/>
          <w:lang w:val="id-ID"/>
        </w:rPr>
        <w:t xml:space="preserve"> 12, No 7, </w:t>
      </w:r>
      <w:r w:rsidRPr="00EC011C">
        <w:rPr>
          <w:rFonts w:ascii="Cambria" w:hAnsi="Cambria"/>
          <w:bCs/>
          <w:kern w:val="28"/>
          <w:sz w:val="24"/>
          <w:highlight w:val="yellow"/>
        </w:rPr>
        <w:t>pp.</w:t>
      </w:r>
      <w:r w:rsidRPr="009627E0">
        <w:t xml:space="preserve"> </w:t>
      </w:r>
      <w:r w:rsidRPr="009627E0">
        <w:rPr>
          <w:rFonts w:ascii="Cambria" w:hAnsi="Cambria"/>
          <w:bCs/>
          <w:kern w:val="28"/>
          <w:sz w:val="24"/>
          <w:highlight w:val="yellow"/>
        </w:rPr>
        <w:t>1546-1556</w:t>
      </w:r>
      <w:r>
        <w:rPr>
          <w:rFonts w:ascii="Cambria" w:hAnsi="Cambria"/>
          <w:bCs/>
          <w:kern w:val="28"/>
          <w:sz w:val="24"/>
          <w:highlight w:val="yellow"/>
        </w:rPr>
        <w:t>.</w:t>
      </w:r>
    </w:p>
    <w:p w14:paraId="567DBF6E"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 xml:space="preserve">Nakagawa, K., Noma, S., and Abe, M., 2020. </w:t>
      </w:r>
      <w:r w:rsidRPr="00664F1E">
        <w:rPr>
          <w:rFonts w:ascii="Cambria" w:hAnsi="Cambria" w:cstheme="majorBidi"/>
          <w:sz w:val="24"/>
        </w:rPr>
        <w:t>RM-CVaR: Regularized Multiple β-CVaR Portfolio.</w:t>
      </w:r>
      <w:r w:rsidRPr="00563305">
        <w:rPr>
          <w:rFonts w:ascii="Cambria" w:hAnsi="Cambria" w:cstheme="majorBidi"/>
          <w:i/>
          <w:sz w:val="24"/>
        </w:rPr>
        <w:t xml:space="preserve"> IJCAI-PRICAI</w:t>
      </w:r>
      <w:r>
        <w:rPr>
          <w:rFonts w:ascii="Cambria" w:hAnsi="Cambria" w:cstheme="majorBidi"/>
          <w:i/>
          <w:sz w:val="24"/>
        </w:rPr>
        <w:t>.</w:t>
      </w:r>
      <w:r w:rsidRPr="00563305">
        <w:rPr>
          <w:rFonts w:ascii="Cambria" w:hAnsi="Cambria" w:cstheme="majorBidi"/>
          <w:sz w:val="24"/>
        </w:rPr>
        <w:t xml:space="preserve"> Special Track AI in FinTech </w:t>
      </w:r>
      <w:hyperlink r:id="rId18" w:history="1">
        <w:r w:rsidRPr="00563305">
          <w:rPr>
            <w:rStyle w:val="a3"/>
            <w:rFonts w:ascii="Cambria" w:hAnsi="Cambria" w:cstheme="majorBidi"/>
            <w:sz w:val="24"/>
          </w:rPr>
          <w:t>https://doi.org/10.48550/arXiv.2004.13347</w:t>
        </w:r>
      </w:hyperlink>
      <w:r w:rsidRPr="00563305">
        <w:rPr>
          <w:rFonts w:ascii="Cambria" w:hAnsi="Cambria" w:cstheme="majorBidi"/>
          <w:sz w:val="24"/>
        </w:rPr>
        <w:t xml:space="preserve">   Accessed on October 20, 2022.</w:t>
      </w:r>
    </w:p>
    <w:p w14:paraId="3125B02F" w14:textId="77777777" w:rsidR="00AC6D37" w:rsidRDefault="00AC6D37" w:rsidP="00C67D34">
      <w:pPr>
        <w:spacing w:after="0"/>
        <w:ind w:left="450" w:hanging="450"/>
        <w:rPr>
          <w:rFonts w:ascii="Cambria" w:hAnsi="Cambria" w:cstheme="majorBidi"/>
          <w:sz w:val="24"/>
        </w:rPr>
      </w:pPr>
      <w:r w:rsidRPr="00584536">
        <w:rPr>
          <w:rFonts w:ascii="Cambria" w:hAnsi="Cambria" w:cstheme="majorBidi"/>
          <w:sz w:val="24"/>
          <w:highlight w:val="yellow"/>
        </w:rPr>
        <w:t>Puteri, N., Naadia</w:t>
      </w:r>
      <w:r>
        <w:rPr>
          <w:rFonts w:ascii="Cambria" w:hAnsi="Cambria" w:cstheme="majorBidi"/>
          <w:sz w:val="24"/>
          <w:highlight w:val="yellow"/>
        </w:rPr>
        <w:t xml:space="preserve">, </w:t>
      </w:r>
      <w:r w:rsidRPr="00584536">
        <w:rPr>
          <w:rFonts w:ascii="Cambria" w:hAnsi="Cambria" w:cstheme="majorBidi"/>
          <w:sz w:val="24"/>
          <w:highlight w:val="yellow"/>
        </w:rPr>
        <w:t>F</w:t>
      </w:r>
      <w:r>
        <w:rPr>
          <w:rFonts w:ascii="Cambria" w:hAnsi="Cambria" w:cstheme="majorBidi"/>
          <w:sz w:val="24"/>
          <w:highlight w:val="yellow"/>
        </w:rPr>
        <w:t>.M.F.</w:t>
      </w:r>
      <w:r w:rsidRPr="00584536">
        <w:rPr>
          <w:rFonts w:ascii="Cambria" w:hAnsi="Cambria" w:cstheme="majorBidi"/>
          <w:sz w:val="24"/>
          <w:highlight w:val="yellow"/>
        </w:rPr>
        <w:t>, Zahidah Jahidi</w:t>
      </w:r>
      <w:r>
        <w:rPr>
          <w:rFonts w:ascii="Cambria" w:hAnsi="Cambria" w:cstheme="majorBidi"/>
          <w:sz w:val="24"/>
          <w:highlight w:val="yellow"/>
        </w:rPr>
        <w:t xml:space="preserve">, Z., 2022. </w:t>
      </w:r>
      <w:r w:rsidRPr="00584536">
        <w:rPr>
          <w:rFonts w:ascii="Cambria" w:hAnsi="Cambria" w:cstheme="majorBidi"/>
          <w:sz w:val="24"/>
          <w:highlight w:val="yellow"/>
        </w:rPr>
        <w:t xml:space="preserve">Identification of Risks Exposed to The Development of Zakat and Wakaf Housing in Malaysia. </w:t>
      </w:r>
      <w:r w:rsidRPr="00584536">
        <w:rPr>
          <w:rFonts w:ascii="Cambria" w:hAnsi="Cambria" w:cstheme="majorBidi"/>
          <w:i/>
          <w:sz w:val="24"/>
          <w:highlight w:val="yellow"/>
        </w:rPr>
        <w:t>International Journal of Technology</w:t>
      </w:r>
      <w:r>
        <w:rPr>
          <w:rFonts w:ascii="Cambria" w:hAnsi="Cambria" w:cstheme="majorBidi"/>
          <w:i/>
          <w:sz w:val="24"/>
          <w:highlight w:val="yellow"/>
        </w:rPr>
        <w:t xml:space="preserve">. </w:t>
      </w:r>
      <w:r w:rsidRPr="00584536">
        <w:rPr>
          <w:rFonts w:ascii="Cambria" w:hAnsi="Cambria" w:cstheme="majorBidi"/>
          <w:sz w:val="24"/>
          <w:highlight w:val="yellow"/>
        </w:rPr>
        <w:t>Vol</w:t>
      </w:r>
      <w:r>
        <w:rPr>
          <w:rFonts w:ascii="Cambria" w:hAnsi="Cambria" w:cstheme="majorBidi"/>
          <w:sz w:val="24"/>
          <w:highlight w:val="yellow"/>
        </w:rPr>
        <w:t xml:space="preserve">ume 13, No 4, </w:t>
      </w:r>
      <w:r w:rsidRPr="00584536">
        <w:rPr>
          <w:rFonts w:ascii="Cambria" w:hAnsi="Cambria" w:cstheme="majorBidi"/>
          <w:sz w:val="24"/>
          <w:highlight w:val="yellow"/>
        </w:rPr>
        <w:t>pp. 727-739.</w:t>
      </w:r>
      <w:r>
        <w:rPr>
          <w:rFonts w:ascii="Cambria" w:hAnsi="Cambria" w:cstheme="majorBidi"/>
          <w:sz w:val="24"/>
        </w:rPr>
        <w:t xml:space="preserve"> </w:t>
      </w:r>
    </w:p>
    <w:p w14:paraId="0DE4D105"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 xml:space="preserve">Rybyantseva, M., Ivanova, E., Demin, S., Dzhamay, E. and Bakharev, V., 2017. </w:t>
      </w:r>
      <w:r w:rsidRPr="00664F1E">
        <w:rPr>
          <w:rFonts w:ascii="Cambria" w:hAnsi="Cambria" w:cstheme="majorBidi"/>
          <w:sz w:val="24"/>
        </w:rPr>
        <w:t>Financial sustainability of the enterprise and the main methods of its assessment.</w:t>
      </w:r>
      <w:r w:rsidRPr="00563305">
        <w:rPr>
          <w:rFonts w:ascii="Cambria" w:hAnsi="Cambria" w:cstheme="majorBidi"/>
          <w:i/>
          <w:sz w:val="24"/>
        </w:rPr>
        <w:t xml:space="preserve"> International Journal of Applied Business and Economic Research</w:t>
      </w:r>
      <w:r w:rsidRPr="00563305">
        <w:rPr>
          <w:rFonts w:ascii="Cambria" w:hAnsi="Cambria" w:cstheme="majorBidi"/>
          <w:sz w:val="24"/>
        </w:rPr>
        <w:t>. Volume 15. - P. 139-146</w:t>
      </w:r>
      <w:r>
        <w:rPr>
          <w:rFonts w:ascii="Cambria" w:hAnsi="Cambria" w:cstheme="majorBidi"/>
          <w:sz w:val="24"/>
        </w:rPr>
        <w:t xml:space="preserve">. </w:t>
      </w:r>
    </w:p>
    <w:p w14:paraId="1E336D68" w14:textId="77777777" w:rsidR="00AC6D37" w:rsidRPr="00563305" w:rsidRDefault="00AC6D37" w:rsidP="00563305">
      <w:pPr>
        <w:spacing w:after="0"/>
        <w:ind w:left="450" w:hanging="450"/>
        <w:rPr>
          <w:rFonts w:ascii="Cambria" w:hAnsi="Cambria" w:cstheme="majorBidi"/>
          <w:i/>
          <w:sz w:val="24"/>
        </w:rPr>
      </w:pPr>
      <w:r w:rsidRPr="00664F1E">
        <w:rPr>
          <w:rFonts w:ascii="Cambria" w:hAnsi="Cambria" w:cstheme="majorBidi"/>
          <w:sz w:val="24"/>
        </w:rPr>
        <w:t>Trees. 320 p.</w:t>
      </w:r>
      <w:r>
        <w:rPr>
          <w:rFonts w:ascii="Cambria" w:hAnsi="Cambria" w:cstheme="majorBidi"/>
          <w:i/>
          <w:sz w:val="24"/>
        </w:rPr>
        <w:t xml:space="preserve"> </w:t>
      </w:r>
      <w:r w:rsidRPr="00563305">
        <w:rPr>
          <w:rFonts w:ascii="Cambria" w:hAnsi="Cambria" w:cstheme="majorBidi"/>
          <w:i/>
          <w:sz w:val="24"/>
        </w:rPr>
        <w:t xml:space="preserve"> </w:t>
      </w:r>
      <w:hyperlink r:id="rId19" w:history="1">
        <w:r w:rsidRPr="00563305">
          <w:rPr>
            <w:rStyle w:val="a3"/>
            <w:rFonts w:ascii="Cambria" w:hAnsi="Cambria" w:cstheme="majorBidi"/>
            <w:sz w:val="24"/>
          </w:rPr>
          <w:t>https://proceedings.neurips.cc/paper/2013/file/e3796ae838835da0b6f6ea37bcf8bcb7-Paper.pdf</w:t>
        </w:r>
      </w:hyperlink>
      <w:r w:rsidRPr="00563305">
        <w:rPr>
          <w:rFonts w:ascii="Cambria" w:hAnsi="Cambria" w:cstheme="majorBidi"/>
          <w:sz w:val="24"/>
        </w:rPr>
        <w:t xml:space="preserve"> Accessed on October 31, 2022.</w:t>
      </w:r>
    </w:p>
    <w:p w14:paraId="35F8F849" w14:textId="77777777" w:rsidR="00AC6D37" w:rsidRPr="00563305" w:rsidRDefault="00AC6D37" w:rsidP="00563305">
      <w:pPr>
        <w:spacing w:after="0"/>
        <w:ind w:left="450" w:hanging="450"/>
        <w:rPr>
          <w:rFonts w:ascii="Cambria" w:hAnsi="Cambria" w:cstheme="majorBidi"/>
          <w:sz w:val="24"/>
        </w:rPr>
      </w:pPr>
      <w:r w:rsidRPr="00563305">
        <w:rPr>
          <w:rFonts w:ascii="Cambria" w:hAnsi="Cambria" w:cstheme="majorBidi"/>
          <w:sz w:val="24"/>
        </w:rPr>
        <w:t xml:space="preserve">Trejo, P., 2021.  </w:t>
      </w:r>
      <w:r w:rsidRPr="00563305">
        <w:rPr>
          <w:rFonts w:ascii="Cambria" w:hAnsi="Cambria" w:cstheme="majorBidi"/>
          <w:i/>
          <w:sz w:val="24"/>
        </w:rPr>
        <w:t>What is the difference between component analysis and cognitive semantics? IJCAI-PRICAI</w:t>
      </w:r>
      <w:r w:rsidRPr="00563305">
        <w:rPr>
          <w:rFonts w:ascii="Cambria" w:hAnsi="Cambria" w:cstheme="majorBidi"/>
          <w:sz w:val="24"/>
        </w:rPr>
        <w:t xml:space="preserve"> Special Track AI in FinTech </w:t>
      </w:r>
      <w:hyperlink r:id="rId20" w:history="1">
        <w:r w:rsidRPr="00563305">
          <w:rPr>
            <w:rStyle w:val="a3"/>
            <w:rFonts w:ascii="Cambria" w:hAnsi="Cambria" w:cstheme="majorBidi"/>
            <w:sz w:val="24"/>
          </w:rPr>
          <w:t>https://translated.turbopages.org/proxy_u/en-ru.ru.e0373bd7-634e4895-2c067191-74722d776562/https/www.quora.com/What-is-the-contrast-of-componential-analysis-and-cognitive-semantics</w:t>
        </w:r>
      </w:hyperlink>
      <w:r w:rsidRPr="00563305">
        <w:rPr>
          <w:rFonts w:ascii="Cambria" w:hAnsi="Cambria" w:cstheme="majorBidi"/>
          <w:sz w:val="24"/>
        </w:rPr>
        <w:t xml:space="preserve"> Accessed on October 20, 2022.</w:t>
      </w:r>
    </w:p>
    <w:p w14:paraId="2B59E9A1" w14:textId="77777777" w:rsidR="00AC6D37" w:rsidRDefault="00AC6D37" w:rsidP="00563305">
      <w:pPr>
        <w:spacing w:after="0"/>
        <w:ind w:left="450" w:hanging="450"/>
        <w:rPr>
          <w:rFonts w:ascii="Cambria" w:hAnsi="Cambria" w:cstheme="majorBidi"/>
          <w:sz w:val="24"/>
        </w:rPr>
      </w:pPr>
      <w:r w:rsidRPr="00563305">
        <w:rPr>
          <w:rFonts w:ascii="Cambria" w:hAnsi="Cambria" w:cstheme="majorBidi"/>
          <w:sz w:val="24"/>
        </w:rPr>
        <w:t>Zhan, N., Sun, Y., Jakhar, A. and Liu, H., 2021</w:t>
      </w:r>
      <w:r w:rsidRPr="00664F1E">
        <w:rPr>
          <w:rFonts w:ascii="Cambria" w:hAnsi="Cambria" w:cstheme="majorBidi"/>
          <w:sz w:val="24"/>
        </w:rPr>
        <w:t>. Graphical Models for Financial Time Series and Portfolio Selection.</w:t>
      </w:r>
      <w:r w:rsidRPr="00563305">
        <w:rPr>
          <w:rFonts w:ascii="Cambria" w:hAnsi="Cambria" w:cstheme="majorBidi"/>
          <w:sz w:val="24"/>
        </w:rPr>
        <w:t xml:space="preserve">  </w:t>
      </w:r>
      <w:r w:rsidRPr="00563305">
        <w:rPr>
          <w:rFonts w:ascii="Cambria" w:hAnsi="Cambria" w:cstheme="majorBidi"/>
          <w:i/>
          <w:sz w:val="24"/>
        </w:rPr>
        <w:t>Published at ACM International Conference on AI in Finance</w:t>
      </w:r>
      <w:r w:rsidRPr="00563305">
        <w:rPr>
          <w:rFonts w:ascii="Cambria" w:hAnsi="Cambria" w:cstheme="majorBidi"/>
          <w:sz w:val="24"/>
        </w:rPr>
        <w:t xml:space="preserve"> (ICAIF '20) </w:t>
      </w:r>
      <w:hyperlink r:id="rId21" w:history="1">
        <w:r w:rsidRPr="000E5BBA">
          <w:rPr>
            <w:rStyle w:val="a3"/>
            <w:rFonts w:ascii="Cambria" w:hAnsi="Cambria" w:cstheme="majorBidi"/>
            <w:sz w:val="24"/>
          </w:rPr>
          <w:t>https://arxiv.org/format/2101.09214</w:t>
        </w:r>
      </w:hyperlink>
      <w:r>
        <w:rPr>
          <w:rFonts w:ascii="Cambria" w:hAnsi="Cambria" w:cstheme="majorBidi"/>
          <w:sz w:val="24"/>
        </w:rPr>
        <w:t xml:space="preserve"> </w:t>
      </w:r>
      <w:r w:rsidRPr="00563305">
        <w:rPr>
          <w:rFonts w:ascii="Cambria" w:hAnsi="Cambria" w:cstheme="majorBidi"/>
          <w:sz w:val="24"/>
        </w:rPr>
        <w:t xml:space="preserve"> Accessed on October 20, 2022. </w:t>
      </w:r>
      <w:bookmarkEnd w:id="2"/>
    </w:p>
    <w:sectPr w:rsidR="00AC6D37" w:rsidSect="00EF541B">
      <w:headerReference w:type="first" r:id="rId22"/>
      <w:footerReference w:type="first" r:id="rId23"/>
      <w:pgSz w:w="11909" w:h="16834" w:code="9"/>
      <w:pgMar w:top="1699" w:right="888" w:bottom="1138" w:left="1138" w:header="990" w:footer="720" w:gutter="389"/>
      <w:pgNumType w:start="4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4CC1C" w14:textId="77777777" w:rsidR="00CD6E3D" w:rsidRDefault="00CD6E3D">
      <w:pPr>
        <w:spacing w:after="0"/>
      </w:pPr>
      <w:r>
        <w:separator/>
      </w:r>
    </w:p>
  </w:endnote>
  <w:endnote w:type="continuationSeparator" w:id="0">
    <w:p w14:paraId="02C1EAD3" w14:textId="77777777" w:rsidR="00CD6E3D" w:rsidRDefault="00CD6E3D">
      <w:pPr>
        <w:spacing w:after="0"/>
      </w:pPr>
      <w:r>
        <w:continuationSeparator/>
      </w:r>
    </w:p>
  </w:endnote>
  <w:endnote w:id="1">
    <w:p w14:paraId="2D92C988" w14:textId="5D664567" w:rsidR="00EC011C" w:rsidRPr="002F0C1B" w:rsidRDefault="00EC011C" w:rsidP="00915E97">
      <w:pPr>
        <w:pStyle w:val="af5"/>
        <w:rPr>
          <w:rFonts w:ascii="Cambria" w:hAnsi="Cambria"/>
          <w:color w:val="7F7F7F" w:themeColor="text1" w:themeTint="80"/>
          <w:lang w:val="id-ID"/>
        </w:rPr>
      </w:pPr>
      <w:r w:rsidRPr="002F0C1B">
        <w:rPr>
          <w:rStyle w:val="af7"/>
          <w:rFonts w:ascii="Cambria" w:hAnsi="Cambria"/>
          <w:color w:val="404040" w:themeColor="text1" w:themeTint="BF"/>
        </w:rPr>
        <w:endnoteRef/>
      </w:r>
      <w:r w:rsidRPr="00C96EFF">
        <w:rPr>
          <w:rFonts w:ascii="Cambria" w:hAnsi="Cambria"/>
          <w:color w:val="404040" w:themeColor="text1" w:themeTint="BF"/>
        </w:rPr>
        <w:t xml:space="preserve">Corresponding author’s email: </w:t>
      </w:r>
      <w:hyperlink r:id="rId1" w:history="1">
        <w:r w:rsidRPr="00794EC5">
          <w:rPr>
            <w:rStyle w:val="a3"/>
            <w:rFonts w:ascii="Cambria" w:hAnsi="Cambria"/>
          </w:rPr>
          <w:t>tel9033176642@yahoo.com</w:t>
        </w:r>
      </w:hyperlink>
      <w:r>
        <w:rPr>
          <w:rFonts w:ascii="Cambria" w:hAnsi="Cambria"/>
          <w:color w:val="404040" w:themeColor="text1" w:themeTint="BF"/>
        </w:rPr>
        <w:t xml:space="preserve"> </w:t>
      </w:r>
      <w:r w:rsidRPr="00C96EFF">
        <w:rPr>
          <w:rFonts w:ascii="Cambria" w:hAnsi="Cambria"/>
          <w:color w:val="404040" w:themeColor="text1" w:themeTint="BF"/>
        </w:rPr>
        <w:t>, Tel.: +79033176642</w:t>
      </w:r>
    </w:p>
    <w:p w14:paraId="734A1F93" w14:textId="50EF620C" w:rsidR="00EC011C" w:rsidRDefault="00EC011C" w:rsidP="006127FC">
      <w:pPr>
        <w:pStyle w:val="af5"/>
        <w:rPr>
          <w:rFonts w:ascii="Cambria" w:hAnsi="Cambria"/>
          <w:color w:val="0070C0"/>
        </w:rPr>
      </w:pPr>
      <w:r>
        <w:rPr>
          <w:rFonts w:ascii="Cambria" w:hAnsi="Cambria"/>
          <w:color w:val="404040" w:themeColor="text1" w:themeTint="BF"/>
        </w:rPr>
        <w:t>doi</w:t>
      </w:r>
      <w:r w:rsidRPr="002F0C1B">
        <w:rPr>
          <w:rFonts w:ascii="Cambria" w:hAnsi="Cambria"/>
          <w:color w:val="404040" w:themeColor="text1" w:themeTint="BF"/>
        </w:rPr>
        <w:t xml:space="preserve">: </w:t>
      </w:r>
      <w:r w:rsidRPr="002F0C1B">
        <w:rPr>
          <w:rFonts w:ascii="Cambria" w:hAnsi="Cambria"/>
          <w:color w:val="0070C0"/>
        </w:rPr>
        <w:t>10.14716/ijtech.</w:t>
      </w:r>
      <w:r w:rsidRPr="001D5BB3">
        <w:rPr>
          <w:rFonts w:ascii="Cambria" w:hAnsi="Cambria"/>
          <w:color w:val="0070C0"/>
        </w:rPr>
        <w:t>v</w:t>
      </w:r>
      <w:r>
        <w:rPr>
          <w:rFonts w:ascii="Cambria" w:hAnsi="Cambria"/>
          <w:color w:val="0070C0"/>
        </w:rPr>
        <w:t>0</w:t>
      </w:r>
      <w:r w:rsidRPr="001D5BB3">
        <w:rPr>
          <w:rFonts w:ascii="Cambria" w:hAnsi="Cambria"/>
          <w:color w:val="0070C0"/>
        </w:rPr>
        <w:t>i</w:t>
      </w:r>
      <w:r>
        <w:rPr>
          <w:rFonts w:ascii="Cambria" w:hAnsi="Cambria"/>
          <w:color w:val="0070C0"/>
        </w:rPr>
        <w:t>0</w:t>
      </w:r>
      <w:r w:rsidRPr="001D5BB3">
        <w:rPr>
          <w:rFonts w:ascii="Cambria" w:hAnsi="Cambria"/>
          <w:color w:val="0070C0"/>
        </w:rPr>
        <w:t>.</w:t>
      </w:r>
      <w:r>
        <w:rPr>
          <w:rFonts w:ascii="Cambria" w:hAnsi="Cambria"/>
          <w:color w:val="0070C0"/>
        </w:rPr>
        <w:t>0000</w:t>
      </w:r>
    </w:p>
    <w:p w14:paraId="041F36B2" w14:textId="2D6111A0" w:rsidR="00077D18" w:rsidRPr="00C4626C" w:rsidRDefault="00077D18" w:rsidP="00C46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PMingLiU">
    <w:altName w:val="Malgun Gothic Semilight"/>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GulimChe">
    <w:charset w:val="81"/>
    <w:family w:val="modern"/>
    <w:pitch w:val="fixed"/>
    <w:sig w:usb0="B00002AF" w:usb1="69D77CFB" w:usb2="00000030" w:usb3="00000000" w:csb0="0008009F" w:csb1="00000000"/>
  </w:font>
  <w:font w:name="함초롬바탕">
    <w:altName w:val="Arial Unicode MS"/>
    <w:charset w:val="81"/>
    <w:family w:val="roman"/>
    <w:pitch w:val="variable"/>
    <w:sig w:usb0="00000000" w:usb1="19DFFFFF" w:usb2="001BFDD7"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Linux Libertine O">
    <w:panose1 w:val="02000503000000000000"/>
    <w:charset w:val="CC"/>
    <w:family w:val="auto"/>
    <w:pitch w:val="variable"/>
    <w:sig w:usb0="E0000AFF" w:usb1="5000E5FB" w:usb2="00000020" w:usb3="00000000" w:csb0="000001B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E1EE7" w14:textId="77777777" w:rsidR="00EC011C" w:rsidRPr="00EF4840" w:rsidRDefault="00EC011C" w:rsidP="007E5496">
    <w:pPr>
      <w:pStyle w:val="a9"/>
      <w:jc w:val="right"/>
      <w:rPr>
        <w:b/>
      </w:rPr>
    </w:pPr>
    <w:r>
      <w:tab/>
    </w:r>
  </w:p>
  <w:p w14:paraId="43F44D1F" w14:textId="77777777" w:rsidR="00EC011C" w:rsidRDefault="00EC011C" w:rsidP="007E5496">
    <w:pPr>
      <w:pStyle w:val="a9"/>
      <w:tabs>
        <w:tab w:val="clear" w:pos="468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F3460" w14:textId="77777777" w:rsidR="00EC011C" w:rsidRPr="00EF4840" w:rsidRDefault="00EC011C" w:rsidP="007E5496">
    <w:pPr>
      <w:pStyle w:val="a9"/>
      <w:jc w:val="right"/>
      <w:rPr>
        <w:b/>
      </w:rPr>
    </w:pPr>
    <w:r>
      <w:tab/>
    </w:r>
  </w:p>
  <w:p w14:paraId="6CA92DE6" w14:textId="77777777" w:rsidR="00EC011C" w:rsidRDefault="00EC011C" w:rsidP="007E5496">
    <w:pPr>
      <w:pStyle w:val="a9"/>
      <w:tabs>
        <w:tab w:val="clear" w:pos="468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C94E0" w14:textId="77777777" w:rsidR="00CD6E3D" w:rsidRDefault="00CD6E3D">
      <w:pPr>
        <w:spacing w:after="0"/>
      </w:pPr>
      <w:r>
        <w:separator/>
      </w:r>
    </w:p>
  </w:footnote>
  <w:footnote w:type="continuationSeparator" w:id="0">
    <w:p w14:paraId="2E7D23E0" w14:textId="77777777" w:rsidR="00CD6E3D" w:rsidRDefault="00CD6E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FF5E0" w14:textId="40D81F61" w:rsidR="00EC011C" w:rsidRPr="007926CD" w:rsidRDefault="00EC011C" w:rsidP="00894F50">
    <w:pPr>
      <w:pStyle w:val="a7"/>
      <w:tabs>
        <w:tab w:val="clear" w:pos="4680"/>
        <w:tab w:val="clear" w:pos="9360"/>
        <w:tab w:val="right" w:pos="9270"/>
      </w:tabs>
      <w:spacing w:after="0"/>
      <w:jc w:val="left"/>
      <w:rPr>
        <w:rFonts w:ascii="Cambria" w:hAnsi="Cambria"/>
        <w:color w:val="7F7F7F"/>
        <w:lang w:val="en-US"/>
      </w:rPr>
    </w:pP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sidR="00AC6D37">
      <w:rPr>
        <w:rFonts w:ascii="Cambria" w:hAnsi="Cambria"/>
        <w:b/>
        <w:noProof/>
        <w:color w:val="7F7F7F"/>
      </w:rPr>
      <w:t>52</w:t>
    </w:r>
    <w:r w:rsidRPr="007926CD">
      <w:rPr>
        <w:rFonts w:ascii="Cambria" w:hAnsi="Cambria"/>
        <w:b/>
        <w:color w:val="7F7F7F"/>
      </w:rPr>
      <w:fldChar w:fldCharType="end"/>
    </w:r>
    <w:r w:rsidRPr="007926CD">
      <w:rPr>
        <w:rFonts w:ascii="Cambria" w:hAnsi="Cambria"/>
        <w:b/>
        <w:color w:val="7F7F7F"/>
      </w:rPr>
      <w:t xml:space="preserve"> </w:t>
    </w:r>
    <w:r w:rsidRPr="007926CD">
      <w:rPr>
        <w:rFonts w:ascii="Cambria" w:hAnsi="Cambria"/>
        <w:b/>
        <w:color w:val="7F7F7F"/>
      </w:rPr>
      <w:tab/>
    </w:r>
    <w:r w:rsidRPr="00894F50">
      <w:rPr>
        <w:rFonts w:ascii="Cambria" w:hAnsi="Cambria"/>
        <w:color w:val="7F7F7F"/>
        <w:lang w:val="en-US"/>
      </w:rPr>
      <w:t>Cognitive Model of Financial Stability of the Domestic Economy Based on Artificial Intelligence in Conditions of Uncertainty and Risk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DD77E" w14:textId="1F679202" w:rsidR="00EC011C" w:rsidRPr="007926CD" w:rsidRDefault="00EC011C" w:rsidP="00D84060">
    <w:pPr>
      <w:pStyle w:val="a7"/>
      <w:tabs>
        <w:tab w:val="clear" w:pos="4680"/>
        <w:tab w:val="clear" w:pos="9360"/>
        <w:tab w:val="right" w:pos="9270"/>
      </w:tabs>
      <w:rPr>
        <w:rFonts w:ascii="Cambria" w:hAnsi="Cambria"/>
        <w:color w:val="7F7F7F"/>
      </w:rPr>
    </w:pPr>
    <w:r w:rsidRPr="00894F50">
      <w:rPr>
        <w:rFonts w:ascii="Cambria" w:hAnsi="Cambria"/>
        <w:color w:val="7F7F7F"/>
        <w:lang w:val="id-ID"/>
      </w:rPr>
      <w:t xml:space="preserve">Lomakin </w:t>
    </w:r>
    <w:r>
      <w:rPr>
        <w:rFonts w:ascii="Cambria" w:hAnsi="Cambria"/>
        <w:color w:val="7F7F7F"/>
        <w:lang w:val="en-US"/>
      </w:rPr>
      <w:t>(</w:t>
    </w:r>
    <w:r w:rsidRPr="001D5BB3">
      <w:rPr>
        <w:rFonts w:ascii="Cambria" w:hAnsi="Cambria"/>
        <w:color w:val="7F7F7F"/>
        <w:lang w:val="id-ID"/>
      </w:rPr>
      <w:t>et al.</w:t>
    </w:r>
    <w:r>
      <w:rPr>
        <w:rFonts w:ascii="Cambria" w:hAnsi="Cambria"/>
        <w:color w:val="7F7F7F"/>
        <w:lang w:val="en-US"/>
      </w:rPr>
      <w:t>)</w:t>
    </w:r>
    <w:r w:rsidRPr="001D5BB3">
      <w:rPr>
        <w:rFonts w:ascii="Cambria" w:hAnsi="Cambria"/>
        <w:color w:val="7F7F7F"/>
        <w:lang w:val="id-ID"/>
      </w:rPr>
      <w:t xml:space="preserve">  </w:t>
    </w:r>
    <w:r w:rsidRPr="007926CD">
      <w:rPr>
        <w:rFonts w:ascii="Cambria" w:hAnsi="Cambria"/>
        <w:color w:val="7F7F7F"/>
      </w:rPr>
      <w:tab/>
    </w:r>
    <w:r w:rsidRPr="007926CD">
      <w:rPr>
        <w:rFonts w:ascii="Cambria" w:hAnsi="Cambria"/>
        <w:b/>
        <w:color w:val="7F7F7F"/>
      </w:rPr>
      <w:fldChar w:fldCharType="begin"/>
    </w:r>
    <w:r w:rsidRPr="007926CD">
      <w:rPr>
        <w:rFonts w:ascii="Cambria" w:hAnsi="Cambria"/>
        <w:b/>
        <w:color w:val="7F7F7F"/>
      </w:rPr>
      <w:instrText xml:space="preserve"> PAGE   \* MERGEFORMAT </w:instrText>
    </w:r>
    <w:r w:rsidRPr="007926CD">
      <w:rPr>
        <w:rFonts w:ascii="Cambria" w:hAnsi="Cambria"/>
        <w:b/>
        <w:color w:val="7F7F7F"/>
      </w:rPr>
      <w:fldChar w:fldCharType="separate"/>
    </w:r>
    <w:r w:rsidR="00AC6D37">
      <w:rPr>
        <w:rFonts w:ascii="Cambria" w:hAnsi="Cambria"/>
        <w:b/>
        <w:noProof/>
        <w:color w:val="7F7F7F"/>
      </w:rPr>
      <w:t>53</w:t>
    </w:r>
    <w:r w:rsidRPr="007926CD">
      <w:rPr>
        <w:rFonts w:ascii="Cambria" w:hAnsi="Cambria"/>
        <w:b/>
        <w:color w:val="7F7F7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91C17" w14:textId="6591C458" w:rsidR="00EC011C" w:rsidRPr="001D04E0" w:rsidRDefault="00EC011C" w:rsidP="001D04E0">
    <w:pPr>
      <w:tabs>
        <w:tab w:val="left" w:pos="1260"/>
      </w:tabs>
      <w:adjustRightInd w:val="0"/>
      <w:snapToGrid w:val="0"/>
      <w:spacing w:before="240" w:after="0"/>
      <w:ind w:firstLine="1260"/>
      <w:jc w:val="left"/>
      <w:rPr>
        <w:rFonts w:ascii="Cambria" w:hAnsi="Cambria"/>
        <w:color w:val="404040" w:themeColor="text1" w:themeTint="BF"/>
        <w:szCs w:val="22"/>
        <w:lang w:val="en-US"/>
      </w:rPr>
    </w:pPr>
    <w:r w:rsidRPr="001D04E0">
      <w:rPr>
        <w:rFonts w:ascii="Cambria" w:hAnsi="Cambria"/>
        <w:noProof/>
        <w:color w:val="404040" w:themeColor="text1" w:themeTint="BF"/>
        <w:lang w:val="ru-RU" w:eastAsia="ru-RU"/>
      </w:rPr>
      <w:drawing>
        <wp:anchor distT="0" distB="0" distL="114300" distR="114300" simplePos="0" relativeHeight="251658240" behindDoc="0" locked="0" layoutInCell="1" allowOverlap="1" wp14:anchorId="549F449F" wp14:editId="7D187022">
          <wp:simplePos x="0" y="0"/>
          <wp:positionH relativeFrom="column">
            <wp:posOffset>3810</wp:posOffset>
          </wp:positionH>
          <wp:positionV relativeFrom="paragraph">
            <wp:posOffset>154940</wp:posOffset>
          </wp:positionV>
          <wp:extent cx="713232" cy="1033272"/>
          <wp:effectExtent l="0" t="0" r="0" b="0"/>
          <wp:wrapNone/>
          <wp:docPr id="2" name="Picture 37" descr="http://ijtech.eng.ui.ac.id/assets/front/img/cover-defa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jtech.eng.ui.ac.id/assets/front/img/cover-default.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232" cy="103327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04E0">
      <w:rPr>
        <w:rFonts w:ascii="Cambria" w:hAnsi="Cambria"/>
        <w:color w:val="404040" w:themeColor="text1" w:themeTint="BF"/>
        <w:szCs w:val="22"/>
      </w:rPr>
      <w:t xml:space="preserve">International Journal of Technology </w:t>
    </w:r>
    <w:proofErr w:type="gramStart"/>
    <w:r>
      <w:rPr>
        <w:rFonts w:ascii="Cambria" w:hAnsi="Cambria"/>
        <w:color w:val="404040" w:themeColor="text1" w:themeTint="BF"/>
        <w:szCs w:val="22"/>
        <w:lang w:val="id-ID"/>
      </w:rPr>
      <w:t>v(</w:t>
    </w:r>
    <w:proofErr w:type="gramEnd"/>
    <w:r>
      <w:rPr>
        <w:rFonts w:ascii="Cambria" w:hAnsi="Cambria"/>
        <w:color w:val="404040" w:themeColor="text1" w:themeTint="BF"/>
        <w:szCs w:val="22"/>
        <w:lang w:val="id-ID"/>
      </w:rPr>
      <w:t>i)</w:t>
    </w:r>
    <w:r w:rsidRPr="001D04E0">
      <w:rPr>
        <w:rFonts w:ascii="Cambria" w:hAnsi="Cambria"/>
        <w:color w:val="404040" w:themeColor="text1" w:themeTint="BF"/>
        <w:szCs w:val="22"/>
        <w:lang w:val="en-US"/>
      </w:rPr>
      <w:t xml:space="preserve"> </w:t>
    </w:r>
    <w:r>
      <w:rPr>
        <w:rFonts w:ascii="Cambria" w:hAnsi="Cambria"/>
        <w:color w:val="404040" w:themeColor="text1" w:themeTint="BF"/>
        <w:szCs w:val="22"/>
        <w:lang w:val="en-US"/>
      </w:rPr>
      <w:t>pp-pp</w:t>
    </w:r>
    <w:r w:rsidRPr="001D04E0">
      <w:rPr>
        <w:rFonts w:ascii="Cambria" w:hAnsi="Cambria"/>
        <w:color w:val="404040" w:themeColor="text1" w:themeTint="BF"/>
        <w:szCs w:val="22"/>
        <w:lang w:val="en-US"/>
      </w:rPr>
      <w:t xml:space="preserve"> (</w:t>
    </w:r>
    <w:r>
      <w:rPr>
        <w:rFonts w:ascii="Cambria" w:hAnsi="Cambria"/>
        <w:color w:val="404040" w:themeColor="text1" w:themeTint="BF"/>
        <w:szCs w:val="22"/>
        <w:lang w:val="en-US"/>
      </w:rPr>
      <w:t>YYYY</w:t>
    </w:r>
    <w:r w:rsidRPr="001D04E0">
      <w:rPr>
        <w:rFonts w:ascii="Cambria" w:hAnsi="Cambria"/>
        <w:color w:val="404040" w:themeColor="text1" w:themeTint="BF"/>
        <w:szCs w:val="22"/>
        <w:lang w:val="en-US"/>
      </w:rPr>
      <w:t>)</w:t>
    </w:r>
  </w:p>
  <w:p w14:paraId="3C875641" w14:textId="77777777" w:rsidR="00EC011C" w:rsidRPr="001D04E0" w:rsidRDefault="00EC011C" w:rsidP="001D04E0">
    <w:pPr>
      <w:tabs>
        <w:tab w:val="left" w:pos="1260"/>
        <w:tab w:val="right" w:pos="9244"/>
      </w:tabs>
      <w:spacing w:after="0"/>
      <w:jc w:val="left"/>
      <w:rPr>
        <w:rFonts w:ascii="Cambria" w:hAnsi="Cambria"/>
        <w:color w:val="404040" w:themeColor="text1" w:themeTint="BF"/>
        <w:sz w:val="20"/>
        <w:szCs w:val="20"/>
      </w:rPr>
    </w:pPr>
    <w:r>
      <w:rPr>
        <w:rFonts w:ascii="Cambria" w:hAnsi="Cambria"/>
        <w:color w:val="404040" w:themeColor="text1" w:themeTint="BF"/>
        <w:sz w:val="20"/>
        <w:szCs w:val="20"/>
      </w:rPr>
      <w:tab/>
      <w:t>Received</w:t>
    </w:r>
    <w:r w:rsidRPr="001D04E0">
      <w:rPr>
        <w:rFonts w:ascii="Cambria" w:hAnsi="Cambria"/>
        <w:color w:val="404040" w:themeColor="text1" w:themeTint="BF"/>
        <w:sz w:val="20"/>
        <w:szCs w:val="20"/>
      </w:rPr>
      <w:t xml:space="preserve"> </w:t>
    </w:r>
    <w:r w:rsidRPr="001D5BB3">
      <w:rPr>
        <w:rFonts w:ascii="Cambria" w:hAnsi="Cambria"/>
        <w:color w:val="404040" w:themeColor="text1" w:themeTint="BF"/>
        <w:sz w:val="20"/>
        <w:szCs w:val="20"/>
      </w:rPr>
      <w:t xml:space="preserve">Month Year </w:t>
    </w:r>
    <w:r w:rsidRPr="001D04E0">
      <w:rPr>
        <w:rFonts w:ascii="Cambria" w:hAnsi="Cambria"/>
        <w:color w:val="404040" w:themeColor="text1" w:themeTint="BF"/>
        <w:sz w:val="20"/>
        <w:szCs w:val="20"/>
      </w:rPr>
      <w:t xml:space="preserve">/ Revised </w:t>
    </w:r>
    <w:r w:rsidRPr="001D5BB3">
      <w:rPr>
        <w:rFonts w:ascii="Cambria" w:hAnsi="Cambria"/>
        <w:color w:val="404040" w:themeColor="text1" w:themeTint="BF"/>
        <w:sz w:val="20"/>
        <w:szCs w:val="20"/>
      </w:rPr>
      <w:t xml:space="preserve">Month Year </w:t>
    </w:r>
    <w:r>
      <w:rPr>
        <w:rFonts w:ascii="Cambria" w:hAnsi="Cambria"/>
        <w:color w:val="404040" w:themeColor="text1" w:themeTint="BF"/>
        <w:sz w:val="20"/>
        <w:szCs w:val="20"/>
      </w:rPr>
      <w:t xml:space="preserve">/ Accepted </w:t>
    </w:r>
    <w:r w:rsidRPr="001D5BB3">
      <w:rPr>
        <w:rFonts w:ascii="Cambria" w:hAnsi="Cambria"/>
        <w:color w:val="404040" w:themeColor="text1" w:themeTint="BF"/>
        <w:sz w:val="20"/>
        <w:szCs w:val="20"/>
      </w:rPr>
      <w:t>Month Year</w:t>
    </w:r>
  </w:p>
  <w:p w14:paraId="2F04C26C" w14:textId="77777777" w:rsidR="00EC011C" w:rsidRDefault="00EC011C" w:rsidP="001D04E0">
    <w:pPr>
      <w:tabs>
        <w:tab w:val="left" w:pos="1260"/>
        <w:tab w:val="right" w:pos="9244"/>
      </w:tabs>
      <w:spacing w:after="0"/>
      <w:jc w:val="left"/>
      <w:rPr>
        <w:rFonts w:ascii="Calibri" w:hAnsi="Calibri"/>
        <w:color w:val="7F7F7F"/>
        <w:szCs w:val="22"/>
      </w:rPr>
    </w:pPr>
  </w:p>
  <w:p w14:paraId="64A375A9" w14:textId="77777777" w:rsidR="00EC011C" w:rsidRDefault="00EC011C" w:rsidP="001D04E0">
    <w:pPr>
      <w:tabs>
        <w:tab w:val="left" w:pos="1260"/>
        <w:tab w:val="right" w:pos="9244"/>
      </w:tabs>
      <w:spacing w:after="0"/>
      <w:jc w:val="left"/>
      <w:rPr>
        <w:rFonts w:ascii="Cambria" w:hAnsi="Cambria"/>
        <w:color w:val="7F7F7F"/>
        <w:sz w:val="28"/>
        <w:szCs w:val="28"/>
      </w:rPr>
    </w:pPr>
    <w:r>
      <w:rPr>
        <w:rFonts w:ascii="Cambria" w:hAnsi="Cambria"/>
        <w:color w:val="002060"/>
        <w:sz w:val="28"/>
        <w:szCs w:val="28"/>
      </w:rPr>
      <w:tab/>
    </w:r>
    <w:r w:rsidRPr="004030AD">
      <w:rPr>
        <w:rFonts w:ascii="Cambria" w:hAnsi="Cambria"/>
        <w:color w:val="002060"/>
        <w:sz w:val="28"/>
        <w:szCs w:val="28"/>
      </w:rPr>
      <w:t>International Journal of Technology</w:t>
    </w:r>
  </w:p>
  <w:p w14:paraId="6DE5B8B9" w14:textId="77777777" w:rsidR="00EC011C" w:rsidRDefault="00EC011C" w:rsidP="001D04E0">
    <w:pPr>
      <w:tabs>
        <w:tab w:val="right" w:pos="9244"/>
      </w:tabs>
      <w:spacing w:after="0"/>
      <w:jc w:val="left"/>
      <w:rPr>
        <w:rFonts w:ascii="Cambria" w:hAnsi="Cambria"/>
        <w:color w:val="7F7F7F"/>
        <w:sz w:val="28"/>
        <w:szCs w:val="28"/>
      </w:rPr>
    </w:pPr>
  </w:p>
  <w:p w14:paraId="20EC735E" w14:textId="77777777" w:rsidR="00EC011C" w:rsidRPr="004030AD" w:rsidRDefault="00EC011C" w:rsidP="001D04E0">
    <w:pPr>
      <w:pBdr>
        <w:bottom w:val="single" w:sz="18" w:space="1" w:color="404040" w:themeColor="text1" w:themeTint="BF"/>
      </w:pBdr>
      <w:tabs>
        <w:tab w:val="left" w:pos="1260"/>
        <w:tab w:val="right" w:pos="9244"/>
      </w:tabs>
      <w:spacing w:after="0"/>
      <w:jc w:val="left"/>
      <w:rPr>
        <w:rFonts w:asciiTheme="minorHAnsi" w:hAnsiTheme="minorHAnsi" w:cstheme="minorHAnsi"/>
        <w:color w:val="7F7F7F"/>
        <w:szCs w:val="22"/>
        <w:lang w:val="id-ID"/>
      </w:rPr>
    </w:pPr>
    <w:r>
      <w:rPr>
        <w:rFonts w:asciiTheme="minorHAnsi" w:hAnsiTheme="minorHAnsi" w:cstheme="minorHAnsi"/>
        <w:color w:val="7F7F7F"/>
        <w:szCs w:val="22"/>
      </w:rPr>
      <w:tab/>
      <w:t>http://ijtech.eng.ui.ac.id</w:t>
    </w:r>
    <w:r w:rsidRPr="004030AD">
      <w:rPr>
        <w:rFonts w:asciiTheme="minorHAnsi" w:hAnsiTheme="minorHAnsi" w:cstheme="minorHAnsi"/>
        <w:color w:val="7F7F7F"/>
        <w:szCs w:val="22"/>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89078" w14:textId="77777777" w:rsidR="00EC011C" w:rsidRPr="005C2BE3" w:rsidRDefault="00EC011C" w:rsidP="00F90E13">
    <w:pPr>
      <w:pStyle w:val="a7"/>
      <w:tabs>
        <w:tab w:val="clear" w:pos="4680"/>
        <w:tab w:val="clear" w:pos="9360"/>
        <w:tab w:val="right" w:pos="9270"/>
      </w:tabs>
      <w:spacing w:after="0"/>
      <w:rPr>
        <w:rFonts w:ascii="Calibri" w:hAnsi="Calibri"/>
        <w:color w:val="7F7F7F"/>
      </w:rPr>
    </w:pPr>
    <w:r w:rsidRPr="005C2BE3">
      <w:rPr>
        <w:rFonts w:ascii="Calibri" w:hAnsi="Calibri"/>
        <w:b/>
        <w:color w:val="7F7F7F"/>
      </w:rPr>
      <w:fldChar w:fldCharType="begin"/>
    </w:r>
    <w:r w:rsidRPr="005C2BE3">
      <w:rPr>
        <w:rFonts w:ascii="Calibri" w:hAnsi="Calibri"/>
        <w:b/>
        <w:color w:val="7F7F7F"/>
      </w:rPr>
      <w:instrText xml:space="preserve"> PAGE   \* MERGEFORMAT </w:instrText>
    </w:r>
    <w:r w:rsidRPr="005C2BE3">
      <w:rPr>
        <w:rFonts w:ascii="Calibri" w:hAnsi="Calibri"/>
        <w:b/>
        <w:color w:val="7F7F7F"/>
      </w:rPr>
      <w:fldChar w:fldCharType="separate"/>
    </w:r>
    <w:r>
      <w:rPr>
        <w:rFonts w:ascii="Calibri" w:hAnsi="Calibri"/>
        <w:b/>
        <w:noProof/>
        <w:color w:val="7F7F7F"/>
      </w:rPr>
      <w:t>50</w:t>
    </w:r>
    <w:r w:rsidRPr="005C2BE3">
      <w:rPr>
        <w:rFonts w:ascii="Calibri" w:hAnsi="Calibri"/>
        <w:b/>
        <w:color w:val="7F7F7F"/>
      </w:rPr>
      <w:fldChar w:fldCharType="end"/>
    </w:r>
    <w:r w:rsidRPr="005C2BE3">
      <w:rPr>
        <w:rFonts w:ascii="Calibri" w:hAnsi="Calibri"/>
        <w:b/>
        <w:color w:val="7F7F7F"/>
      </w:rPr>
      <w:tab/>
    </w:r>
    <w:r w:rsidRPr="005C2BE3">
      <w:rPr>
        <w:rFonts w:ascii="Calibri" w:hAnsi="Calibri"/>
        <w:color w:val="7F7F7F"/>
      </w:rPr>
      <w:t xml:space="preserve">Investigating the </w:t>
    </w:r>
    <w:proofErr w:type="spellStart"/>
    <w:r w:rsidRPr="005C2BE3">
      <w:rPr>
        <w:rFonts w:ascii="Calibri" w:hAnsi="Calibri"/>
        <w:color w:val="7F7F7F"/>
      </w:rPr>
      <w:t>nanostructural</w:t>
    </w:r>
    <w:proofErr w:type="spellEnd"/>
    <w:r w:rsidRPr="005C2BE3">
      <w:rPr>
        <w:rFonts w:ascii="Calibri" w:hAnsi="Calibri"/>
        <w:color w:val="7F7F7F"/>
      </w:rPr>
      <w:t xml:space="preserve"> evolution of TiO2 nanoparticles </w:t>
    </w:r>
  </w:p>
  <w:p w14:paraId="15EB1361" w14:textId="77777777" w:rsidR="00EC011C" w:rsidRPr="005C2BE3" w:rsidRDefault="00EC011C" w:rsidP="00F90E13">
    <w:pPr>
      <w:tabs>
        <w:tab w:val="right" w:pos="9244"/>
      </w:tabs>
      <w:spacing w:after="0"/>
      <w:jc w:val="left"/>
      <w:rPr>
        <w:rFonts w:ascii="Calibri" w:hAnsi="Calibri"/>
        <w:color w:val="7F7F7F"/>
        <w:szCs w:val="22"/>
      </w:rPr>
    </w:pPr>
    <w:r w:rsidRPr="005C2BE3">
      <w:rPr>
        <w:rFonts w:ascii="Calibri" w:hAnsi="Calibri"/>
        <w:color w:val="7F7F7F"/>
      </w:rPr>
      <w:tab/>
    </w:r>
    <w:proofErr w:type="gramStart"/>
    <w:r w:rsidRPr="005C2BE3">
      <w:rPr>
        <w:rFonts w:ascii="Calibri" w:hAnsi="Calibri"/>
        <w:color w:val="7F7F7F"/>
      </w:rPr>
      <w:t>in</w:t>
    </w:r>
    <w:proofErr w:type="gramEnd"/>
    <w:r w:rsidRPr="005C2BE3">
      <w:rPr>
        <w:rFonts w:ascii="Calibri" w:hAnsi="Calibri"/>
        <w:color w:val="7F7F7F"/>
      </w:rPr>
      <w:t xml:space="preserve"> the sol–gel derived TiO2–</w:t>
    </w:r>
    <w:proofErr w:type="spellStart"/>
    <w:r w:rsidRPr="005C2BE3">
      <w:rPr>
        <w:rFonts w:ascii="Calibri" w:hAnsi="Calibri"/>
        <w:color w:val="7F7F7F"/>
      </w:rPr>
      <w:t>polymethyl</w:t>
    </w:r>
    <w:proofErr w:type="spellEnd"/>
    <w:r w:rsidRPr="005C2BE3">
      <w:rPr>
        <w:rFonts w:ascii="Calibri" w:hAnsi="Calibri"/>
        <w:color w:val="7F7F7F"/>
      </w:rPr>
      <w:t xml:space="preserve"> methacrylate nanocomposites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654"/>
        </w:tabs>
        <w:ind w:left="654" w:hanging="360"/>
      </w:pPr>
    </w:lvl>
  </w:abstractNum>
  <w:abstractNum w:abstractNumId="1" w15:restartNumberingAfterBreak="0">
    <w:nsid w:val="0384112B"/>
    <w:multiLevelType w:val="hybridMultilevel"/>
    <w:tmpl w:val="1F9AD334"/>
    <w:lvl w:ilvl="0" w:tplc="FFFFFFFF">
      <w:start w:val="1"/>
      <w:numFmt w:val="lowerLetter"/>
      <w:lvlText w:val="(%1)"/>
      <w:lvlJc w:val="left"/>
      <w:pPr>
        <w:ind w:left="2640" w:hanging="360"/>
      </w:pPr>
      <w:rPr>
        <w:rFonts w:hint="default"/>
      </w:rPr>
    </w:lvl>
    <w:lvl w:ilvl="1" w:tplc="FFFFFFFF" w:tentative="1">
      <w:start w:val="1"/>
      <w:numFmt w:val="lowerLetter"/>
      <w:lvlText w:val="%2."/>
      <w:lvlJc w:val="left"/>
      <w:pPr>
        <w:ind w:left="3360" w:hanging="360"/>
      </w:pPr>
    </w:lvl>
    <w:lvl w:ilvl="2" w:tplc="FFFFFFFF" w:tentative="1">
      <w:start w:val="1"/>
      <w:numFmt w:val="lowerRoman"/>
      <w:lvlText w:val="%3."/>
      <w:lvlJc w:val="right"/>
      <w:pPr>
        <w:ind w:left="4080" w:hanging="180"/>
      </w:pPr>
    </w:lvl>
    <w:lvl w:ilvl="3" w:tplc="FFFFFFFF" w:tentative="1">
      <w:start w:val="1"/>
      <w:numFmt w:val="decimal"/>
      <w:lvlText w:val="%4."/>
      <w:lvlJc w:val="left"/>
      <w:pPr>
        <w:ind w:left="4800" w:hanging="360"/>
      </w:pPr>
    </w:lvl>
    <w:lvl w:ilvl="4" w:tplc="FFFFFFFF" w:tentative="1">
      <w:start w:val="1"/>
      <w:numFmt w:val="lowerLetter"/>
      <w:lvlText w:val="%5."/>
      <w:lvlJc w:val="left"/>
      <w:pPr>
        <w:ind w:left="5520" w:hanging="360"/>
      </w:pPr>
    </w:lvl>
    <w:lvl w:ilvl="5" w:tplc="FFFFFFFF" w:tentative="1">
      <w:start w:val="1"/>
      <w:numFmt w:val="lowerRoman"/>
      <w:lvlText w:val="%6."/>
      <w:lvlJc w:val="right"/>
      <w:pPr>
        <w:ind w:left="6240" w:hanging="180"/>
      </w:pPr>
    </w:lvl>
    <w:lvl w:ilvl="6" w:tplc="FFFFFFFF" w:tentative="1">
      <w:start w:val="1"/>
      <w:numFmt w:val="decimal"/>
      <w:lvlText w:val="%7."/>
      <w:lvlJc w:val="left"/>
      <w:pPr>
        <w:ind w:left="6960" w:hanging="360"/>
      </w:pPr>
    </w:lvl>
    <w:lvl w:ilvl="7" w:tplc="FFFFFFFF" w:tentative="1">
      <w:start w:val="1"/>
      <w:numFmt w:val="lowerLetter"/>
      <w:lvlText w:val="%8."/>
      <w:lvlJc w:val="left"/>
      <w:pPr>
        <w:ind w:left="7680" w:hanging="360"/>
      </w:pPr>
    </w:lvl>
    <w:lvl w:ilvl="8" w:tplc="FFFFFFFF" w:tentative="1">
      <w:start w:val="1"/>
      <w:numFmt w:val="lowerRoman"/>
      <w:lvlText w:val="%9."/>
      <w:lvlJc w:val="right"/>
      <w:pPr>
        <w:ind w:left="8400" w:hanging="180"/>
      </w:pPr>
    </w:lvl>
  </w:abstractNum>
  <w:abstractNum w:abstractNumId="2" w15:restartNumberingAfterBreak="0">
    <w:nsid w:val="20B1523F"/>
    <w:multiLevelType w:val="multilevel"/>
    <w:tmpl w:val="5214493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Restart w:val="0"/>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15:restartNumberingAfterBreak="0">
    <w:nsid w:val="222C3552"/>
    <w:multiLevelType w:val="hybridMultilevel"/>
    <w:tmpl w:val="2D5C6734"/>
    <w:lvl w:ilvl="0" w:tplc="0409000F">
      <w:start w:val="1"/>
      <w:numFmt w:val="decimal"/>
      <w:lvlText w:val="%1."/>
      <w:lvlJc w:val="left"/>
      <w:pPr>
        <w:ind w:left="4680" w:hanging="360"/>
      </w:pPr>
      <w:rPr>
        <w:rFonts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99776D"/>
    <w:multiLevelType w:val="hybridMultilevel"/>
    <w:tmpl w:val="208E4EAA"/>
    <w:lvl w:ilvl="0" w:tplc="2C54DA78">
      <w:start w:val="1"/>
      <w:numFmt w:val="decimal"/>
      <w:lvlText w:val="%1."/>
      <w:lvlJc w:val="left"/>
      <w:pPr>
        <w:ind w:left="720" w:hanging="360"/>
      </w:pPr>
      <w:rPr>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063129"/>
    <w:multiLevelType w:val="hybridMultilevel"/>
    <w:tmpl w:val="8ACE883C"/>
    <w:lvl w:ilvl="0" w:tplc="D91EE27A">
      <w:start w:val="1"/>
      <w:numFmt w:val="lowerLetter"/>
      <w:lvlText w:val="(%1)"/>
      <w:lvlJc w:val="left"/>
      <w:pPr>
        <w:ind w:left="360" w:hanging="360"/>
      </w:pPr>
      <w:rPr>
        <w:rFonts w:hint="default"/>
        <w:color w:val="002060"/>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402C58"/>
    <w:multiLevelType w:val="hybridMultilevel"/>
    <w:tmpl w:val="3216D2F0"/>
    <w:lvl w:ilvl="0" w:tplc="F9EEA436">
      <w:start w:val="1"/>
      <w:numFmt w:val="decimal"/>
      <w:pStyle w:val="figurecaption"/>
      <w:lvlText w:val="Figure %1. "/>
      <w:lvlJc w:val="left"/>
      <w:pPr>
        <w:tabs>
          <w:tab w:val="num" w:pos="135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A4E43E8A"/>
    <w:lvl w:ilvl="0">
      <w:start w:val="1"/>
      <w:numFmt w:val="decimal"/>
      <w:pStyle w:val="tablehead"/>
      <w:lvlText w:val="Table %1"/>
      <w:lvlJc w:val="left"/>
      <w:pPr>
        <w:tabs>
          <w:tab w:val="num" w:pos="1080"/>
        </w:tabs>
        <w:ind w:left="0" w:firstLine="0"/>
      </w:pPr>
      <w:rPr>
        <w:rFonts w:ascii="Times New Roman" w:hAnsi="Times New Roman" w:cs="Times New Roman" w:hint="default"/>
        <w:b w:val="0"/>
        <w:bCs w:val="0"/>
        <w:i w:val="0"/>
        <w:iCs w:val="0"/>
        <w:sz w:val="24"/>
        <w:szCs w:val="16"/>
      </w:rPr>
    </w:lvl>
  </w:abstractNum>
  <w:abstractNum w:abstractNumId="10" w15:restartNumberingAfterBreak="0">
    <w:nsid w:val="6D523A3B"/>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6E1A24C2"/>
    <w:multiLevelType w:val="hybridMultilevel"/>
    <w:tmpl w:val="BB846A22"/>
    <w:lvl w:ilvl="0" w:tplc="0421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B3501"/>
    <w:multiLevelType w:val="hybridMultilevel"/>
    <w:tmpl w:val="37F2C972"/>
    <w:lvl w:ilvl="0" w:tplc="14FE9774">
      <w:start w:val="1"/>
      <w:numFmt w:val="decimal"/>
      <w:lvlText w:val="Figure %1"/>
      <w:lvlJc w:val="left"/>
      <w:pPr>
        <w:ind w:left="720" w:hanging="360"/>
      </w:pPr>
      <w:rPr>
        <w:rFonts w:ascii="Times New Roman" w:hAnsi="Times New Roman" w:cs="Times New Roman" w:hint="default"/>
        <w:sz w:val="24"/>
        <w:szCs w:val="16"/>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1"/>
  </w:num>
  <w:num w:numId="3">
    <w:abstractNumId w:val="4"/>
  </w:num>
  <w:num w:numId="4">
    <w:abstractNumId w:val="3"/>
  </w:num>
  <w:num w:numId="5">
    <w:abstractNumId w:val="8"/>
  </w:num>
  <w:num w:numId="6">
    <w:abstractNumId w:val="6"/>
  </w:num>
  <w:num w:numId="7">
    <w:abstractNumId w:val="9"/>
  </w:num>
  <w:num w:numId="8">
    <w:abstractNumId w:val="10"/>
  </w:num>
  <w:num w:numId="9">
    <w:abstractNumId w:val="12"/>
  </w:num>
  <w:num w:numId="10">
    <w:abstractNumId w:val="5"/>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10"/>
  <w:displayHorizontalDrawingGridEvery w:val="2"/>
  <w:noPunctuationKerning/>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pos w:val="sectEnd"/>
    <w:numFmt w:val="chicago"/>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B9"/>
    <w:rsid w:val="00001CB9"/>
    <w:rsid w:val="00002BB2"/>
    <w:rsid w:val="0000635F"/>
    <w:rsid w:val="00010BA6"/>
    <w:rsid w:val="00011A70"/>
    <w:rsid w:val="00011C6E"/>
    <w:rsid w:val="0001298D"/>
    <w:rsid w:val="00013091"/>
    <w:rsid w:val="000164A5"/>
    <w:rsid w:val="00016611"/>
    <w:rsid w:val="0002298A"/>
    <w:rsid w:val="00024FF6"/>
    <w:rsid w:val="000307F0"/>
    <w:rsid w:val="000324BE"/>
    <w:rsid w:val="00032A71"/>
    <w:rsid w:val="00035A70"/>
    <w:rsid w:val="00041CD4"/>
    <w:rsid w:val="0004212D"/>
    <w:rsid w:val="000519CA"/>
    <w:rsid w:val="00056FC2"/>
    <w:rsid w:val="00062E4D"/>
    <w:rsid w:val="000662C1"/>
    <w:rsid w:val="0006688E"/>
    <w:rsid w:val="00066C46"/>
    <w:rsid w:val="000716D5"/>
    <w:rsid w:val="00074A04"/>
    <w:rsid w:val="00074D4B"/>
    <w:rsid w:val="00076873"/>
    <w:rsid w:val="0007703A"/>
    <w:rsid w:val="00077687"/>
    <w:rsid w:val="000779BC"/>
    <w:rsid w:val="00077D18"/>
    <w:rsid w:val="000809D1"/>
    <w:rsid w:val="00081E74"/>
    <w:rsid w:val="00082ABA"/>
    <w:rsid w:val="00090689"/>
    <w:rsid w:val="0009152A"/>
    <w:rsid w:val="00092E73"/>
    <w:rsid w:val="00096F8C"/>
    <w:rsid w:val="000A48CB"/>
    <w:rsid w:val="000A6B54"/>
    <w:rsid w:val="000B0F10"/>
    <w:rsid w:val="000B2B1F"/>
    <w:rsid w:val="000B4348"/>
    <w:rsid w:val="000B5D71"/>
    <w:rsid w:val="000B6E6E"/>
    <w:rsid w:val="000B70D7"/>
    <w:rsid w:val="000C06A1"/>
    <w:rsid w:val="000C07D6"/>
    <w:rsid w:val="000C0878"/>
    <w:rsid w:val="000C2F0D"/>
    <w:rsid w:val="000C78BB"/>
    <w:rsid w:val="000C7BF0"/>
    <w:rsid w:val="000D2A86"/>
    <w:rsid w:val="000D7EC6"/>
    <w:rsid w:val="000D7FE2"/>
    <w:rsid w:val="000E0293"/>
    <w:rsid w:val="000E2F2F"/>
    <w:rsid w:val="000E3015"/>
    <w:rsid w:val="000E3323"/>
    <w:rsid w:val="000E44EF"/>
    <w:rsid w:val="000F07B6"/>
    <w:rsid w:val="000F17F1"/>
    <w:rsid w:val="000F5740"/>
    <w:rsid w:val="000F64B1"/>
    <w:rsid w:val="001001DB"/>
    <w:rsid w:val="001027F5"/>
    <w:rsid w:val="00104B80"/>
    <w:rsid w:val="001051C0"/>
    <w:rsid w:val="0010548A"/>
    <w:rsid w:val="00106A9D"/>
    <w:rsid w:val="00110E1B"/>
    <w:rsid w:val="00111349"/>
    <w:rsid w:val="00112160"/>
    <w:rsid w:val="00114DA8"/>
    <w:rsid w:val="00115CF4"/>
    <w:rsid w:val="001171A4"/>
    <w:rsid w:val="00120842"/>
    <w:rsid w:val="00121E9E"/>
    <w:rsid w:val="00132234"/>
    <w:rsid w:val="001330F1"/>
    <w:rsid w:val="00136739"/>
    <w:rsid w:val="0013704B"/>
    <w:rsid w:val="001409B6"/>
    <w:rsid w:val="00152936"/>
    <w:rsid w:val="001635B5"/>
    <w:rsid w:val="00163BB6"/>
    <w:rsid w:val="00166910"/>
    <w:rsid w:val="00167227"/>
    <w:rsid w:val="00167615"/>
    <w:rsid w:val="00167D2F"/>
    <w:rsid w:val="00167E23"/>
    <w:rsid w:val="00167F93"/>
    <w:rsid w:val="00174512"/>
    <w:rsid w:val="001750F5"/>
    <w:rsid w:val="00175509"/>
    <w:rsid w:val="001758C2"/>
    <w:rsid w:val="001761A8"/>
    <w:rsid w:val="0017695D"/>
    <w:rsid w:val="00181C43"/>
    <w:rsid w:val="001854D4"/>
    <w:rsid w:val="00197DAF"/>
    <w:rsid w:val="001A27C7"/>
    <w:rsid w:val="001A75A7"/>
    <w:rsid w:val="001B1A68"/>
    <w:rsid w:val="001B63B5"/>
    <w:rsid w:val="001B6D85"/>
    <w:rsid w:val="001C4B6B"/>
    <w:rsid w:val="001C5322"/>
    <w:rsid w:val="001C53B0"/>
    <w:rsid w:val="001C57A9"/>
    <w:rsid w:val="001C6AF1"/>
    <w:rsid w:val="001C771D"/>
    <w:rsid w:val="001D04E0"/>
    <w:rsid w:val="001D07B0"/>
    <w:rsid w:val="001D3849"/>
    <w:rsid w:val="001D5BB3"/>
    <w:rsid w:val="001E02BF"/>
    <w:rsid w:val="001E0B0E"/>
    <w:rsid w:val="001E1957"/>
    <w:rsid w:val="001E43C6"/>
    <w:rsid w:val="001E72BB"/>
    <w:rsid w:val="001E771A"/>
    <w:rsid w:val="001F3DDF"/>
    <w:rsid w:val="001F41FF"/>
    <w:rsid w:val="001F5F2B"/>
    <w:rsid w:val="001F5F71"/>
    <w:rsid w:val="001F6CF9"/>
    <w:rsid w:val="001F7A55"/>
    <w:rsid w:val="001F7D15"/>
    <w:rsid w:val="00201767"/>
    <w:rsid w:val="00201D6F"/>
    <w:rsid w:val="0020202C"/>
    <w:rsid w:val="002029F1"/>
    <w:rsid w:val="002116EA"/>
    <w:rsid w:val="00211C4C"/>
    <w:rsid w:val="00213AAD"/>
    <w:rsid w:val="00217D96"/>
    <w:rsid w:val="00221C8C"/>
    <w:rsid w:val="002228AA"/>
    <w:rsid w:val="00224A8C"/>
    <w:rsid w:val="0022780E"/>
    <w:rsid w:val="00227989"/>
    <w:rsid w:val="0023688D"/>
    <w:rsid w:val="00237039"/>
    <w:rsid w:val="00242108"/>
    <w:rsid w:val="00244A33"/>
    <w:rsid w:val="002456E6"/>
    <w:rsid w:val="00245B3B"/>
    <w:rsid w:val="0024755E"/>
    <w:rsid w:val="0027533E"/>
    <w:rsid w:val="00282E2F"/>
    <w:rsid w:val="002867E3"/>
    <w:rsid w:val="00292860"/>
    <w:rsid w:val="00292D86"/>
    <w:rsid w:val="00296B95"/>
    <w:rsid w:val="002A0344"/>
    <w:rsid w:val="002A2E6A"/>
    <w:rsid w:val="002A4ABB"/>
    <w:rsid w:val="002A7161"/>
    <w:rsid w:val="002A73A1"/>
    <w:rsid w:val="002A7A83"/>
    <w:rsid w:val="002B0F35"/>
    <w:rsid w:val="002B6D6A"/>
    <w:rsid w:val="002C0B43"/>
    <w:rsid w:val="002C11E5"/>
    <w:rsid w:val="002C1955"/>
    <w:rsid w:val="002C1BA6"/>
    <w:rsid w:val="002C43DF"/>
    <w:rsid w:val="002C609C"/>
    <w:rsid w:val="002D27AA"/>
    <w:rsid w:val="002D783F"/>
    <w:rsid w:val="002E1648"/>
    <w:rsid w:val="002E1E73"/>
    <w:rsid w:val="002E3742"/>
    <w:rsid w:val="002E5014"/>
    <w:rsid w:val="002E559E"/>
    <w:rsid w:val="002E6298"/>
    <w:rsid w:val="002F0C1B"/>
    <w:rsid w:val="002F10CA"/>
    <w:rsid w:val="002F27B9"/>
    <w:rsid w:val="002F3958"/>
    <w:rsid w:val="002F3983"/>
    <w:rsid w:val="002F51FB"/>
    <w:rsid w:val="002F7E6B"/>
    <w:rsid w:val="002F7F2F"/>
    <w:rsid w:val="0030008D"/>
    <w:rsid w:val="0030193C"/>
    <w:rsid w:val="0030223F"/>
    <w:rsid w:val="003039BD"/>
    <w:rsid w:val="0030671B"/>
    <w:rsid w:val="00310722"/>
    <w:rsid w:val="003108C0"/>
    <w:rsid w:val="003142D2"/>
    <w:rsid w:val="00316CF5"/>
    <w:rsid w:val="00326D75"/>
    <w:rsid w:val="00333326"/>
    <w:rsid w:val="00334874"/>
    <w:rsid w:val="00336ECA"/>
    <w:rsid w:val="00337D48"/>
    <w:rsid w:val="00342074"/>
    <w:rsid w:val="00344925"/>
    <w:rsid w:val="003456A4"/>
    <w:rsid w:val="00356512"/>
    <w:rsid w:val="00356C29"/>
    <w:rsid w:val="003622EA"/>
    <w:rsid w:val="00362310"/>
    <w:rsid w:val="00362BE7"/>
    <w:rsid w:val="00375402"/>
    <w:rsid w:val="00376EC4"/>
    <w:rsid w:val="003779BB"/>
    <w:rsid w:val="00380601"/>
    <w:rsid w:val="00380950"/>
    <w:rsid w:val="0038130B"/>
    <w:rsid w:val="00384F61"/>
    <w:rsid w:val="00385C24"/>
    <w:rsid w:val="00391E6B"/>
    <w:rsid w:val="00391EA5"/>
    <w:rsid w:val="00393358"/>
    <w:rsid w:val="0039511C"/>
    <w:rsid w:val="003957B7"/>
    <w:rsid w:val="003A0398"/>
    <w:rsid w:val="003A2179"/>
    <w:rsid w:val="003A57B9"/>
    <w:rsid w:val="003B14E6"/>
    <w:rsid w:val="003B17DF"/>
    <w:rsid w:val="003B4DFC"/>
    <w:rsid w:val="003B5E96"/>
    <w:rsid w:val="003B722B"/>
    <w:rsid w:val="003B7CD4"/>
    <w:rsid w:val="003C1F14"/>
    <w:rsid w:val="003C7429"/>
    <w:rsid w:val="003C777B"/>
    <w:rsid w:val="003D7E5A"/>
    <w:rsid w:val="003E3878"/>
    <w:rsid w:val="003E3914"/>
    <w:rsid w:val="003F0EF7"/>
    <w:rsid w:val="003F542E"/>
    <w:rsid w:val="00401CC0"/>
    <w:rsid w:val="004020C6"/>
    <w:rsid w:val="0040223D"/>
    <w:rsid w:val="00402A41"/>
    <w:rsid w:val="004030AD"/>
    <w:rsid w:val="00403744"/>
    <w:rsid w:val="00405556"/>
    <w:rsid w:val="00410D95"/>
    <w:rsid w:val="00414CD7"/>
    <w:rsid w:val="00415D1E"/>
    <w:rsid w:val="00416986"/>
    <w:rsid w:val="0042076E"/>
    <w:rsid w:val="004247D2"/>
    <w:rsid w:val="004258ED"/>
    <w:rsid w:val="004265B9"/>
    <w:rsid w:val="00426DFE"/>
    <w:rsid w:val="00430882"/>
    <w:rsid w:val="004315B2"/>
    <w:rsid w:val="00437914"/>
    <w:rsid w:val="00454254"/>
    <w:rsid w:val="00460636"/>
    <w:rsid w:val="00461C5A"/>
    <w:rsid w:val="00462F0F"/>
    <w:rsid w:val="004659A1"/>
    <w:rsid w:val="004665E9"/>
    <w:rsid w:val="00466B36"/>
    <w:rsid w:val="004676D7"/>
    <w:rsid w:val="00467EE9"/>
    <w:rsid w:val="004743D0"/>
    <w:rsid w:val="00474C51"/>
    <w:rsid w:val="00475A88"/>
    <w:rsid w:val="004770A2"/>
    <w:rsid w:val="004778AC"/>
    <w:rsid w:val="004809A5"/>
    <w:rsid w:val="00481267"/>
    <w:rsid w:val="00484EDB"/>
    <w:rsid w:val="0048633D"/>
    <w:rsid w:val="00486E19"/>
    <w:rsid w:val="0049225E"/>
    <w:rsid w:val="00494114"/>
    <w:rsid w:val="00496F0E"/>
    <w:rsid w:val="004A1EE8"/>
    <w:rsid w:val="004A2723"/>
    <w:rsid w:val="004A37AE"/>
    <w:rsid w:val="004A7259"/>
    <w:rsid w:val="004A7A93"/>
    <w:rsid w:val="004B0C1F"/>
    <w:rsid w:val="004B1852"/>
    <w:rsid w:val="004B43FB"/>
    <w:rsid w:val="004B60F1"/>
    <w:rsid w:val="004C089B"/>
    <w:rsid w:val="004C5F29"/>
    <w:rsid w:val="004C63C9"/>
    <w:rsid w:val="004D3EE3"/>
    <w:rsid w:val="004D4020"/>
    <w:rsid w:val="004D4074"/>
    <w:rsid w:val="004D6D81"/>
    <w:rsid w:val="004D6D87"/>
    <w:rsid w:val="004E5674"/>
    <w:rsid w:val="004F03DB"/>
    <w:rsid w:val="004F137A"/>
    <w:rsid w:val="004F2391"/>
    <w:rsid w:val="004F2592"/>
    <w:rsid w:val="004F2FBA"/>
    <w:rsid w:val="004F3E8E"/>
    <w:rsid w:val="005017D6"/>
    <w:rsid w:val="00506A5B"/>
    <w:rsid w:val="00507460"/>
    <w:rsid w:val="00507868"/>
    <w:rsid w:val="005142C7"/>
    <w:rsid w:val="005150ED"/>
    <w:rsid w:val="005169CF"/>
    <w:rsid w:val="00517C15"/>
    <w:rsid w:val="0052122F"/>
    <w:rsid w:val="00523523"/>
    <w:rsid w:val="00523A39"/>
    <w:rsid w:val="00524BC9"/>
    <w:rsid w:val="00524FFC"/>
    <w:rsid w:val="00526840"/>
    <w:rsid w:val="00530521"/>
    <w:rsid w:val="005311E9"/>
    <w:rsid w:val="00531C00"/>
    <w:rsid w:val="00534944"/>
    <w:rsid w:val="00534F98"/>
    <w:rsid w:val="00537498"/>
    <w:rsid w:val="00541841"/>
    <w:rsid w:val="00542832"/>
    <w:rsid w:val="00543BEB"/>
    <w:rsid w:val="005447A4"/>
    <w:rsid w:val="0054744D"/>
    <w:rsid w:val="00547E0F"/>
    <w:rsid w:val="00547F47"/>
    <w:rsid w:val="005522E1"/>
    <w:rsid w:val="005523A0"/>
    <w:rsid w:val="00552484"/>
    <w:rsid w:val="00552687"/>
    <w:rsid w:val="0055374E"/>
    <w:rsid w:val="00555CFB"/>
    <w:rsid w:val="00555F0D"/>
    <w:rsid w:val="00562F3C"/>
    <w:rsid w:val="00563305"/>
    <w:rsid w:val="0057018E"/>
    <w:rsid w:val="0057291A"/>
    <w:rsid w:val="0057531B"/>
    <w:rsid w:val="0057549A"/>
    <w:rsid w:val="00582D2D"/>
    <w:rsid w:val="00584536"/>
    <w:rsid w:val="00584859"/>
    <w:rsid w:val="00585EBE"/>
    <w:rsid w:val="0059395C"/>
    <w:rsid w:val="005943CE"/>
    <w:rsid w:val="005A08DC"/>
    <w:rsid w:val="005A361E"/>
    <w:rsid w:val="005A7477"/>
    <w:rsid w:val="005B3F67"/>
    <w:rsid w:val="005B4243"/>
    <w:rsid w:val="005B5CD6"/>
    <w:rsid w:val="005C1AB3"/>
    <w:rsid w:val="005C27B8"/>
    <w:rsid w:val="005C2BE3"/>
    <w:rsid w:val="005C521B"/>
    <w:rsid w:val="005C6B5E"/>
    <w:rsid w:val="005C713A"/>
    <w:rsid w:val="005D1156"/>
    <w:rsid w:val="005D3E56"/>
    <w:rsid w:val="005D617D"/>
    <w:rsid w:val="005E18B0"/>
    <w:rsid w:val="005E2EBF"/>
    <w:rsid w:val="005E588E"/>
    <w:rsid w:val="005E5D9E"/>
    <w:rsid w:val="005E6BCD"/>
    <w:rsid w:val="005E6E81"/>
    <w:rsid w:val="005F0809"/>
    <w:rsid w:val="005F3373"/>
    <w:rsid w:val="005F3FCD"/>
    <w:rsid w:val="005F6CB4"/>
    <w:rsid w:val="00603336"/>
    <w:rsid w:val="006056BB"/>
    <w:rsid w:val="006076FB"/>
    <w:rsid w:val="006107FF"/>
    <w:rsid w:val="00610C38"/>
    <w:rsid w:val="00611BFB"/>
    <w:rsid w:val="006123FB"/>
    <w:rsid w:val="006125E0"/>
    <w:rsid w:val="006127FC"/>
    <w:rsid w:val="006140E9"/>
    <w:rsid w:val="006158C4"/>
    <w:rsid w:val="006169BD"/>
    <w:rsid w:val="00617046"/>
    <w:rsid w:val="0062011B"/>
    <w:rsid w:val="006236BD"/>
    <w:rsid w:val="006238BE"/>
    <w:rsid w:val="0062458D"/>
    <w:rsid w:val="006258A1"/>
    <w:rsid w:val="00626FF9"/>
    <w:rsid w:val="0063066B"/>
    <w:rsid w:val="00633440"/>
    <w:rsid w:val="006359B7"/>
    <w:rsid w:val="00636E77"/>
    <w:rsid w:val="006417DB"/>
    <w:rsid w:val="00641A46"/>
    <w:rsid w:val="006461DA"/>
    <w:rsid w:val="006464E2"/>
    <w:rsid w:val="00650595"/>
    <w:rsid w:val="00651B0C"/>
    <w:rsid w:val="00651C21"/>
    <w:rsid w:val="00653074"/>
    <w:rsid w:val="0065642F"/>
    <w:rsid w:val="00657294"/>
    <w:rsid w:val="00664A82"/>
    <w:rsid w:val="00664F1E"/>
    <w:rsid w:val="006655AD"/>
    <w:rsid w:val="0066593B"/>
    <w:rsid w:val="0066737E"/>
    <w:rsid w:val="0067223F"/>
    <w:rsid w:val="00674F8A"/>
    <w:rsid w:val="00677144"/>
    <w:rsid w:val="00677BE5"/>
    <w:rsid w:val="006813AD"/>
    <w:rsid w:val="006817FF"/>
    <w:rsid w:val="00682297"/>
    <w:rsid w:val="00682DCD"/>
    <w:rsid w:val="006830D5"/>
    <w:rsid w:val="0068414F"/>
    <w:rsid w:val="00685124"/>
    <w:rsid w:val="006877DD"/>
    <w:rsid w:val="00687DC6"/>
    <w:rsid w:val="00690ADF"/>
    <w:rsid w:val="00697C20"/>
    <w:rsid w:val="006A01AF"/>
    <w:rsid w:val="006A46BB"/>
    <w:rsid w:val="006B207A"/>
    <w:rsid w:val="006B229A"/>
    <w:rsid w:val="006B2307"/>
    <w:rsid w:val="006C326B"/>
    <w:rsid w:val="006C52C7"/>
    <w:rsid w:val="006C6969"/>
    <w:rsid w:val="006C6B10"/>
    <w:rsid w:val="006C78A1"/>
    <w:rsid w:val="006D2376"/>
    <w:rsid w:val="006D5EA2"/>
    <w:rsid w:val="006D6193"/>
    <w:rsid w:val="006D63F9"/>
    <w:rsid w:val="006D6F8C"/>
    <w:rsid w:val="006E042B"/>
    <w:rsid w:val="006E1CCB"/>
    <w:rsid w:val="006E2174"/>
    <w:rsid w:val="006E3335"/>
    <w:rsid w:val="006E3D0A"/>
    <w:rsid w:val="006E468E"/>
    <w:rsid w:val="006E7DA9"/>
    <w:rsid w:val="006F0B1C"/>
    <w:rsid w:val="006F13BA"/>
    <w:rsid w:val="006F13FA"/>
    <w:rsid w:val="006F3653"/>
    <w:rsid w:val="006F3A1F"/>
    <w:rsid w:val="006F43D0"/>
    <w:rsid w:val="006F4F4A"/>
    <w:rsid w:val="006F60C8"/>
    <w:rsid w:val="0070073B"/>
    <w:rsid w:val="0070581B"/>
    <w:rsid w:val="0071092C"/>
    <w:rsid w:val="00715E00"/>
    <w:rsid w:val="00716FA3"/>
    <w:rsid w:val="0072255C"/>
    <w:rsid w:val="0073253A"/>
    <w:rsid w:val="00732A09"/>
    <w:rsid w:val="00733557"/>
    <w:rsid w:val="00734B12"/>
    <w:rsid w:val="007361D9"/>
    <w:rsid w:val="00736AAE"/>
    <w:rsid w:val="0074118B"/>
    <w:rsid w:val="00741BBB"/>
    <w:rsid w:val="0075645B"/>
    <w:rsid w:val="00756DA3"/>
    <w:rsid w:val="007624DC"/>
    <w:rsid w:val="00764B68"/>
    <w:rsid w:val="00765F56"/>
    <w:rsid w:val="007700B5"/>
    <w:rsid w:val="00770D7E"/>
    <w:rsid w:val="00773F09"/>
    <w:rsid w:val="00775C4A"/>
    <w:rsid w:val="00777E75"/>
    <w:rsid w:val="00780260"/>
    <w:rsid w:val="00780BA3"/>
    <w:rsid w:val="00786FC3"/>
    <w:rsid w:val="00787966"/>
    <w:rsid w:val="007924C2"/>
    <w:rsid w:val="007926CD"/>
    <w:rsid w:val="007970B8"/>
    <w:rsid w:val="007A2394"/>
    <w:rsid w:val="007B24A2"/>
    <w:rsid w:val="007B762F"/>
    <w:rsid w:val="007C2391"/>
    <w:rsid w:val="007C3A19"/>
    <w:rsid w:val="007C401C"/>
    <w:rsid w:val="007C40A8"/>
    <w:rsid w:val="007C42B9"/>
    <w:rsid w:val="007D2852"/>
    <w:rsid w:val="007D381B"/>
    <w:rsid w:val="007D3929"/>
    <w:rsid w:val="007D3CF7"/>
    <w:rsid w:val="007E1144"/>
    <w:rsid w:val="007E5496"/>
    <w:rsid w:val="007E5FC3"/>
    <w:rsid w:val="007F7405"/>
    <w:rsid w:val="00804447"/>
    <w:rsid w:val="008100CB"/>
    <w:rsid w:val="0081391A"/>
    <w:rsid w:val="00813DE8"/>
    <w:rsid w:val="00821601"/>
    <w:rsid w:val="008225A8"/>
    <w:rsid w:val="00822974"/>
    <w:rsid w:val="00824584"/>
    <w:rsid w:val="008256A1"/>
    <w:rsid w:val="00826973"/>
    <w:rsid w:val="00826C3B"/>
    <w:rsid w:val="00830559"/>
    <w:rsid w:val="00830B8F"/>
    <w:rsid w:val="008327C0"/>
    <w:rsid w:val="008339CE"/>
    <w:rsid w:val="0083503B"/>
    <w:rsid w:val="008357C2"/>
    <w:rsid w:val="00836399"/>
    <w:rsid w:val="0084104F"/>
    <w:rsid w:val="0084257B"/>
    <w:rsid w:val="00844C2E"/>
    <w:rsid w:val="00851E94"/>
    <w:rsid w:val="0085243B"/>
    <w:rsid w:val="00852779"/>
    <w:rsid w:val="00852BD2"/>
    <w:rsid w:val="008541D8"/>
    <w:rsid w:val="008557A6"/>
    <w:rsid w:val="008734F0"/>
    <w:rsid w:val="0087480C"/>
    <w:rsid w:val="00881BA3"/>
    <w:rsid w:val="0088223A"/>
    <w:rsid w:val="00883234"/>
    <w:rsid w:val="0088564F"/>
    <w:rsid w:val="008906E6"/>
    <w:rsid w:val="008909E8"/>
    <w:rsid w:val="0089265C"/>
    <w:rsid w:val="008936DE"/>
    <w:rsid w:val="00893DE0"/>
    <w:rsid w:val="00894F50"/>
    <w:rsid w:val="0089515B"/>
    <w:rsid w:val="008A042C"/>
    <w:rsid w:val="008A0900"/>
    <w:rsid w:val="008A4160"/>
    <w:rsid w:val="008A5E84"/>
    <w:rsid w:val="008B014F"/>
    <w:rsid w:val="008B0FFF"/>
    <w:rsid w:val="008B2E0F"/>
    <w:rsid w:val="008B2E50"/>
    <w:rsid w:val="008B3A95"/>
    <w:rsid w:val="008B5D4B"/>
    <w:rsid w:val="008B6F7A"/>
    <w:rsid w:val="008C110B"/>
    <w:rsid w:val="008C1B9B"/>
    <w:rsid w:val="008C7BF2"/>
    <w:rsid w:val="008D0F48"/>
    <w:rsid w:val="008D3E5D"/>
    <w:rsid w:val="008D5E11"/>
    <w:rsid w:val="008D6674"/>
    <w:rsid w:val="008F553E"/>
    <w:rsid w:val="008F7CC3"/>
    <w:rsid w:val="00901628"/>
    <w:rsid w:val="00906C68"/>
    <w:rsid w:val="009130D1"/>
    <w:rsid w:val="00915E97"/>
    <w:rsid w:val="0092061E"/>
    <w:rsid w:val="00921047"/>
    <w:rsid w:val="00921780"/>
    <w:rsid w:val="009217E9"/>
    <w:rsid w:val="00923328"/>
    <w:rsid w:val="009235DB"/>
    <w:rsid w:val="009237C1"/>
    <w:rsid w:val="00931404"/>
    <w:rsid w:val="0093293E"/>
    <w:rsid w:val="00932E2D"/>
    <w:rsid w:val="0093451D"/>
    <w:rsid w:val="00935C25"/>
    <w:rsid w:val="009411AF"/>
    <w:rsid w:val="00942FFC"/>
    <w:rsid w:val="009450F0"/>
    <w:rsid w:val="00945CCC"/>
    <w:rsid w:val="0095597A"/>
    <w:rsid w:val="0096016E"/>
    <w:rsid w:val="009602E8"/>
    <w:rsid w:val="00961337"/>
    <w:rsid w:val="00961D4A"/>
    <w:rsid w:val="009627E0"/>
    <w:rsid w:val="009662C6"/>
    <w:rsid w:val="00970805"/>
    <w:rsid w:val="00973B34"/>
    <w:rsid w:val="00975C93"/>
    <w:rsid w:val="00980CF4"/>
    <w:rsid w:val="009845A2"/>
    <w:rsid w:val="00985B0B"/>
    <w:rsid w:val="00985C4E"/>
    <w:rsid w:val="009863B6"/>
    <w:rsid w:val="00986990"/>
    <w:rsid w:val="00992198"/>
    <w:rsid w:val="009922A3"/>
    <w:rsid w:val="00993126"/>
    <w:rsid w:val="009975D3"/>
    <w:rsid w:val="009A03A5"/>
    <w:rsid w:val="009A3429"/>
    <w:rsid w:val="009A400B"/>
    <w:rsid w:val="009A46F7"/>
    <w:rsid w:val="009A4E0D"/>
    <w:rsid w:val="009A596D"/>
    <w:rsid w:val="009B3F59"/>
    <w:rsid w:val="009B47E9"/>
    <w:rsid w:val="009B4BE9"/>
    <w:rsid w:val="009B6795"/>
    <w:rsid w:val="009C6AAD"/>
    <w:rsid w:val="009C76D2"/>
    <w:rsid w:val="009C7781"/>
    <w:rsid w:val="009D032C"/>
    <w:rsid w:val="009D0CA5"/>
    <w:rsid w:val="009D15BE"/>
    <w:rsid w:val="009D2A16"/>
    <w:rsid w:val="009D7295"/>
    <w:rsid w:val="009E5112"/>
    <w:rsid w:val="009F0650"/>
    <w:rsid w:val="009F2FFF"/>
    <w:rsid w:val="00A01124"/>
    <w:rsid w:val="00A01F82"/>
    <w:rsid w:val="00A036B3"/>
    <w:rsid w:val="00A03A85"/>
    <w:rsid w:val="00A10BAE"/>
    <w:rsid w:val="00A12C46"/>
    <w:rsid w:val="00A13F4C"/>
    <w:rsid w:val="00A15E4D"/>
    <w:rsid w:val="00A16B0E"/>
    <w:rsid w:val="00A17027"/>
    <w:rsid w:val="00A221BE"/>
    <w:rsid w:val="00A22BE3"/>
    <w:rsid w:val="00A30629"/>
    <w:rsid w:val="00A312C6"/>
    <w:rsid w:val="00A37A8A"/>
    <w:rsid w:val="00A4044B"/>
    <w:rsid w:val="00A43348"/>
    <w:rsid w:val="00A43960"/>
    <w:rsid w:val="00A43A75"/>
    <w:rsid w:val="00A45318"/>
    <w:rsid w:val="00A45B1C"/>
    <w:rsid w:val="00A45CB5"/>
    <w:rsid w:val="00A47620"/>
    <w:rsid w:val="00A47DA4"/>
    <w:rsid w:val="00A5093A"/>
    <w:rsid w:val="00A53A90"/>
    <w:rsid w:val="00A54B75"/>
    <w:rsid w:val="00A57CC2"/>
    <w:rsid w:val="00A645FC"/>
    <w:rsid w:val="00A7243A"/>
    <w:rsid w:val="00A7411C"/>
    <w:rsid w:val="00A74C8D"/>
    <w:rsid w:val="00A80B04"/>
    <w:rsid w:val="00A836E3"/>
    <w:rsid w:val="00A84CB8"/>
    <w:rsid w:val="00A90C3E"/>
    <w:rsid w:val="00A95274"/>
    <w:rsid w:val="00A96016"/>
    <w:rsid w:val="00AA117F"/>
    <w:rsid w:val="00AA1529"/>
    <w:rsid w:val="00AA163F"/>
    <w:rsid w:val="00AA1C3B"/>
    <w:rsid w:val="00AA2CBD"/>
    <w:rsid w:val="00AA51ED"/>
    <w:rsid w:val="00AB1895"/>
    <w:rsid w:val="00AB1AAC"/>
    <w:rsid w:val="00AC6D37"/>
    <w:rsid w:val="00AC7BF1"/>
    <w:rsid w:val="00AD115B"/>
    <w:rsid w:val="00AD27E4"/>
    <w:rsid w:val="00AE6E76"/>
    <w:rsid w:val="00AE7514"/>
    <w:rsid w:val="00AF7A2F"/>
    <w:rsid w:val="00B0191B"/>
    <w:rsid w:val="00B0510F"/>
    <w:rsid w:val="00B075CB"/>
    <w:rsid w:val="00B07B8E"/>
    <w:rsid w:val="00B07D8D"/>
    <w:rsid w:val="00B1165B"/>
    <w:rsid w:val="00B33491"/>
    <w:rsid w:val="00B33CA1"/>
    <w:rsid w:val="00B33CB8"/>
    <w:rsid w:val="00B40D67"/>
    <w:rsid w:val="00B40E01"/>
    <w:rsid w:val="00B41DE2"/>
    <w:rsid w:val="00B443D2"/>
    <w:rsid w:val="00B44ACC"/>
    <w:rsid w:val="00B50DFD"/>
    <w:rsid w:val="00B51AC9"/>
    <w:rsid w:val="00B5368B"/>
    <w:rsid w:val="00B57179"/>
    <w:rsid w:val="00B5785E"/>
    <w:rsid w:val="00B6037F"/>
    <w:rsid w:val="00B643E2"/>
    <w:rsid w:val="00B70563"/>
    <w:rsid w:val="00B7269B"/>
    <w:rsid w:val="00B75C98"/>
    <w:rsid w:val="00B76C17"/>
    <w:rsid w:val="00B77329"/>
    <w:rsid w:val="00B77F0D"/>
    <w:rsid w:val="00B82021"/>
    <w:rsid w:val="00B82691"/>
    <w:rsid w:val="00B84C6C"/>
    <w:rsid w:val="00B8710D"/>
    <w:rsid w:val="00B87B14"/>
    <w:rsid w:val="00B93EE8"/>
    <w:rsid w:val="00B97871"/>
    <w:rsid w:val="00BB5C7E"/>
    <w:rsid w:val="00BB7B66"/>
    <w:rsid w:val="00BC4C38"/>
    <w:rsid w:val="00BC694C"/>
    <w:rsid w:val="00BC7AD0"/>
    <w:rsid w:val="00BD711D"/>
    <w:rsid w:val="00BE020B"/>
    <w:rsid w:val="00BE1487"/>
    <w:rsid w:val="00BE2773"/>
    <w:rsid w:val="00BE3238"/>
    <w:rsid w:val="00BE4B5F"/>
    <w:rsid w:val="00BE6904"/>
    <w:rsid w:val="00BF4DDB"/>
    <w:rsid w:val="00BF7D51"/>
    <w:rsid w:val="00C00253"/>
    <w:rsid w:val="00C0195A"/>
    <w:rsid w:val="00C03726"/>
    <w:rsid w:val="00C107C4"/>
    <w:rsid w:val="00C13038"/>
    <w:rsid w:val="00C13468"/>
    <w:rsid w:val="00C209C9"/>
    <w:rsid w:val="00C22189"/>
    <w:rsid w:val="00C24B8F"/>
    <w:rsid w:val="00C25B0A"/>
    <w:rsid w:val="00C33D35"/>
    <w:rsid w:val="00C35F12"/>
    <w:rsid w:val="00C41C1C"/>
    <w:rsid w:val="00C427D0"/>
    <w:rsid w:val="00C4501C"/>
    <w:rsid w:val="00C4626C"/>
    <w:rsid w:val="00C51F41"/>
    <w:rsid w:val="00C53FA6"/>
    <w:rsid w:val="00C54A76"/>
    <w:rsid w:val="00C56BA3"/>
    <w:rsid w:val="00C57567"/>
    <w:rsid w:val="00C61E30"/>
    <w:rsid w:val="00C674D8"/>
    <w:rsid w:val="00C67D34"/>
    <w:rsid w:val="00C7044F"/>
    <w:rsid w:val="00C7077B"/>
    <w:rsid w:val="00C72D7D"/>
    <w:rsid w:val="00C74C88"/>
    <w:rsid w:val="00C7624C"/>
    <w:rsid w:val="00C77647"/>
    <w:rsid w:val="00C77D3C"/>
    <w:rsid w:val="00C80F53"/>
    <w:rsid w:val="00C81655"/>
    <w:rsid w:val="00C82DF5"/>
    <w:rsid w:val="00C8703E"/>
    <w:rsid w:val="00C91230"/>
    <w:rsid w:val="00C91DE8"/>
    <w:rsid w:val="00C96EFF"/>
    <w:rsid w:val="00CA16B8"/>
    <w:rsid w:val="00CA5699"/>
    <w:rsid w:val="00CA5DA0"/>
    <w:rsid w:val="00CB04E7"/>
    <w:rsid w:val="00CB2D92"/>
    <w:rsid w:val="00CB373D"/>
    <w:rsid w:val="00CB4395"/>
    <w:rsid w:val="00CB5B49"/>
    <w:rsid w:val="00CC1455"/>
    <w:rsid w:val="00CC2232"/>
    <w:rsid w:val="00CC2306"/>
    <w:rsid w:val="00CC5E4C"/>
    <w:rsid w:val="00CC68D2"/>
    <w:rsid w:val="00CC7EDE"/>
    <w:rsid w:val="00CD0B5B"/>
    <w:rsid w:val="00CD0E69"/>
    <w:rsid w:val="00CD32C8"/>
    <w:rsid w:val="00CD6E3D"/>
    <w:rsid w:val="00CD6FB2"/>
    <w:rsid w:val="00CD796F"/>
    <w:rsid w:val="00CE5069"/>
    <w:rsid w:val="00CE56B9"/>
    <w:rsid w:val="00CE6DC5"/>
    <w:rsid w:val="00CE783C"/>
    <w:rsid w:val="00CE7C9A"/>
    <w:rsid w:val="00CF070E"/>
    <w:rsid w:val="00CF2C58"/>
    <w:rsid w:val="00CF31CB"/>
    <w:rsid w:val="00CF33CF"/>
    <w:rsid w:val="00CF7384"/>
    <w:rsid w:val="00D00F8D"/>
    <w:rsid w:val="00D02D50"/>
    <w:rsid w:val="00D02DA1"/>
    <w:rsid w:val="00D041E1"/>
    <w:rsid w:val="00D04F16"/>
    <w:rsid w:val="00D05828"/>
    <w:rsid w:val="00D0680C"/>
    <w:rsid w:val="00D101E4"/>
    <w:rsid w:val="00D11035"/>
    <w:rsid w:val="00D14FC6"/>
    <w:rsid w:val="00D152AD"/>
    <w:rsid w:val="00D15BF5"/>
    <w:rsid w:val="00D17379"/>
    <w:rsid w:val="00D20E97"/>
    <w:rsid w:val="00D20EC3"/>
    <w:rsid w:val="00D21BEC"/>
    <w:rsid w:val="00D23A91"/>
    <w:rsid w:val="00D2613E"/>
    <w:rsid w:val="00D27E5A"/>
    <w:rsid w:val="00D31B33"/>
    <w:rsid w:val="00D324EB"/>
    <w:rsid w:val="00D32945"/>
    <w:rsid w:val="00D40CCF"/>
    <w:rsid w:val="00D47643"/>
    <w:rsid w:val="00D5028F"/>
    <w:rsid w:val="00D50AD0"/>
    <w:rsid w:val="00D53B2F"/>
    <w:rsid w:val="00D5438C"/>
    <w:rsid w:val="00D56AC5"/>
    <w:rsid w:val="00D614C5"/>
    <w:rsid w:val="00D61B68"/>
    <w:rsid w:val="00D67294"/>
    <w:rsid w:val="00D674EC"/>
    <w:rsid w:val="00D70899"/>
    <w:rsid w:val="00D709EF"/>
    <w:rsid w:val="00D75930"/>
    <w:rsid w:val="00D759D1"/>
    <w:rsid w:val="00D766CB"/>
    <w:rsid w:val="00D767F4"/>
    <w:rsid w:val="00D77C6F"/>
    <w:rsid w:val="00D80E07"/>
    <w:rsid w:val="00D81CF8"/>
    <w:rsid w:val="00D84060"/>
    <w:rsid w:val="00D84EAB"/>
    <w:rsid w:val="00D860EF"/>
    <w:rsid w:val="00D861CF"/>
    <w:rsid w:val="00D86DCA"/>
    <w:rsid w:val="00D875F7"/>
    <w:rsid w:val="00D87F07"/>
    <w:rsid w:val="00D916B9"/>
    <w:rsid w:val="00D94603"/>
    <w:rsid w:val="00D94D14"/>
    <w:rsid w:val="00D95322"/>
    <w:rsid w:val="00D95CAE"/>
    <w:rsid w:val="00D97BD2"/>
    <w:rsid w:val="00DA435B"/>
    <w:rsid w:val="00DA4BEE"/>
    <w:rsid w:val="00DA4C25"/>
    <w:rsid w:val="00DA70F4"/>
    <w:rsid w:val="00DA7B14"/>
    <w:rsid w:val="00DB394A"/>
    <w:rsid w:val="00DB3E89"/>
    <w:rsid w:val="00DB6B62"/>
    <w:rsid w:val="00DC2B63"/>
    <w:rsid w:val="00DC5FEF"/>
    <w:rsid w:val="00DC6858"/>
    <w:rsid w:val="00DD510B"/>
    <w:rsid w:val="00DD66A5"/>
    <w:rsid w:val="00DE064E"/>
    <w:rsid w:val="00DF152A"/>
    <w:rsid w:val="00DF2652"/>
    <w:rsid w:val="00DF2748"/>
    <w:rsid w:val="00DF5870"/>
    <w:rsid w:val="00E027C7"/>
    <w:rsid w:val="00E03C7C"/>
    <w:rsid w:val="00E060AE"/>
    <w:rsid w:val="00E06943"/>
    <w:rsid w:val="00E1023B"/>
    <w:rsid w:val="00E103A5"/>
    <w:rsid w:val="00E117DD"/>
    <w:rsid w:val="00E11AD2"/>
    <w:rsid w:val="00E15886"/>
    <w:rsid w:val="00E22E97"/>
    <w:rsid w:val="00E24B3E"/>
    <w:rsid w:val="00E25A3F"/>
    <w:rsid w:val="00E3029B"/>
    <w:rsid w:val="00E3114C"/>
    <w:rsid w:val="00E32CBE"/>
    <w:rsid w:val="00E42031"/>
    <w:rsid w:val="00E43E07"/>
    <w:rsid w:val="00E466BE"/>
    <w:rsid w:val="00E51C99"/>
    <w:rsid w:val="00E5425A"/>
    <w:rsid w:val="00E66354"/>
    <w:rsid w:val="00E73781"/>
    <w:rsid w:val="00E73EC1"/>
    <w:rsid w:val="00E75E2B"/>
    <w:rsid w:val="00E777CD"/>
    <w:rsid w:val="00E8084F"/>
    <w:rsid w:val="00E83938"/>
    <w:rsid w:val="00E84B78"/>
    <w:rsid w:val="00E84EE2"/>
    <w:rsid w:val="00E928AB"/>
    <w:rsid w:val="00E929ED"/>
    <w:rsid w:val="00E95C56"/>
    <w:rsid w:val="00E95F33"/>
    <w:rsid w:val="00EA5557"/>
    <w:rsid w:val="00EA7BC2"/>
    <w:rsid w:val="00EB0A1C"/>
    <w:rsid w:val="00EB1C81"/>
    <w:rsid w:val="00EB22F6"/>
    <w:rsid w:val="00EB376B"/>
    <w:rsid w:val="00EB39F7"/>
    <w:rsid w:val="00EB45FC"/>
    <w:rsid w:val="00EB49E8"/>
    <w:rsid w:val="00EB4D17"/>
    <w:rsid w:val="00EB6ABA"/>
    <w:rsid w:val="00EB7EA8"/>
    <w:rsid w:val="00EC011C"/>
    <w:rsid w:val="00EC0976"/>
    <w:rsid w:val="00EC1DEE"/>
    <w:rsid w:val="00EC3A4C"/>
    <w:rsid w:val="00EC48EF"/>
    <w:rsid w:val="00ED003E"/>
    <w:rsid w:val="00ED34D0"/>
    <w:rsid w:val="00EE0268"/>
    <w:rsid w:val="00EE12C3"/>
    <w:rsid w:val="00EE76D1"/>
    <w:rsid w:val="00EF25E5"/>
    <w:rsid w:val="00EF4840"/>
    <w:rsid w:val="00EF541B"/>
    <w:rsid w:val="00F01681"/>
    <w:rsid w:val="00F074F7"/>
    <w:rsid w:val="00F07E87"/>
    <w:rsid w:val="00F10E92"/>
    <w:rsid w:val="00F1354F"/>
    <w:rsid w:val="00F1396C"/>
    <w:rsid w:val="00F240A7"/>
    <w:rsid w:val="00F26DCF"/>
    <w:rsid w:val="00F27B13"/>
    <w:rsid w:val="00F30F7D"/>
    <w:rsid w:val="00F30FD7"/>
    <w:rsid w:val="00F47D4D"/>
    <w:rsid w:val="00F5254D"/>
    <w:rsid w:val="00F64AA4"/>
    <w:rsid w:val="00F66966"/>
    <w:rsid w:val="00F66CAF"/>
    <w:rsid w:val="00F76FC2"/>
    <w:rsid w:val="00F771B6"/>
    <w:rsid w:val="00F80041"/>
    <w:rsid w:val="00F8068A"/>
    <w:rsid w:val="00F818A5"/>
    <w:rsid w:val="00F90E13"/>
    <w:rsid w:val="00F91097"/>
    <w:rsid w:val="00F93F5F"/>
    <w:rsid w:val="00F94CAB"/>
    <w:rsid w:val="00F9577F"/>
    <w:rsid w:val="00F969E4"/>
    <w:rsid w:val="00F96B46"/>
    <w:rsid w:val="00FA0B32"/>
    <w:rsid w:val="00FA20B9"/>
    <w:rsid w:val="00FA7615"/>
    <w:rsid w:val="00FB0BE0"/>
    <w:rsid w:val="00FB190E"/>
    <w:rsid w:val="00FB583C"/>
    <w:rsid w:val="00FC0F47"/>
    <w:rsid w:val="00FD242C"/>
    <w:rsid w:val="00FD2E36"/>
    <w:rsid w:val="00FD3C97"/>
    <w:rsid w:val="00FD4344"/>
    <w:rsid w:val="00FD5860"/>
    <w:rsid w:val="00FE0DAE"/>
    <w:rsid w:val="00FE17ED"/>
    <w:rsid w:val="00FE3F6C"/>
    <w:rsid w:val="00FE5E98"/>
    <w:rsid w:val="00FF20DB"/>
    <w:rsid w:val="00FF233B"/>
    <w:rsid w:val="00FF3F50"/>
    <w:rsid w:val="00FF7D1F"/>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CBDC3D"/>
  <w15:docId w15:val="{995FCC2F-8F0D-4151-B89F-23E8853B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79A"/>
    <w:pPr>
      <w:spacing w:after="120"/>
      <w:jc w:val="both"/>
    </w:pPr>
    <w:rPr>
      <w:sz w:val="22"/>
      <w:szCs w:val="24"/>
      <w:lang w:val="en-GB" w:eastAsia="de-DE"/>
    </w:rPr>
  </w:style>
  <w:style w:type="paragraph" w:styleId="1">
    <w:name w:val="heading 1"/>
    <w:aliases w:val="1st Head DER Journal"/>
    <w:next w:val="a"/>
    <w:qFormat/>
    <w:rsid w:val="0096679A"/>
    <w:pPr>
      <w:keepNext/>
      <w:numPr>
        <w:numId w:val="1"/>
      </w:numPr>
      <w:spacing w:before="300" w:after="100" w:line="280" w:lineRule="atLeast"/>
      <w:ind w:left="431" w:right="-28" w:hanging="431"/>
      <w:outlineLvl w:val="0"/>
    </w:pPr>
    <w:rPr>
      <w:b/>
      <w:bCs/>
      <w:caps/>
      <w:sz w:val="22"/>
      <w:szCs w:val="24"/>
      <w:lang w:val="en-GB" w:eastAsia="de-DE"/>
    </w:rPr>
  </w:style>
  <w:style w:type="paragraph" w:styleId="2">
    <w:name w:val="heading 2"/>
    <w:aliases w:val="2nd Head DER Journal"/>
    <w:next w:val="a"/>
    <w:qFormat/>
    <w:rsid w:val="0096679A"/>
    <w:pPr>
      <w:keepNext/>
      <w:numPr>
        <w:ilvl w:val="1"/>
        <w:numId w:val="1"/>
      </w:numPr>
      <w:spacing w:before="100" w:after="100" w:line="280" w:lineRule="atLeast"/>
      <w:outlineLvl w:val="1"/>
    </w:pPr>
    <w:rPr>
      <w:b/>
      <w:bCs/>
      <w:sz w:val="22"/>
      <w:szCs w:val="24"/>
      <w:lang w:val="en-GB" w:eastAsia="de-DE"/>
    </w:rPr>
  </w:style>
  <w:style w:type="paragraph" w:styleId="3">
    <w:name w:val="heading 3"/>
    <w:aliases w:val="3rd Head DER Journal"/>
    <w:next w:val="a"/>
    <w:qFormat/>
    <w:rsid w:val="0096679A"/>
    <w:pPr>
      <w:numPr>
        <w:ilvl w:val="2"/>
        <w:numId w:val="1"/>
      </w:numPr>
      <w:outlineLvl w:val="2"/>
    </w:pPr>
    <w:rPr>
      <w:b/>
      <w:bCs/>
      <w:i/>
      <w:iCs/>
      <w:sz w:val="22"/>
      <w:szCs w:val="24"/>
      <w:lang w:val="en-GB" w:eastAsia="de-DE"/>
    </w:rPr>
  </w:style>
  <w:style w:type="paragraph" w:styleId="4">
    <w:name w:val="heading 4"/>
    <w:aliases w:val="4th Head DER Journal"/>
    <w:basedOn w:val="a"/>
    <w:next w:val="a"/>
    <w:qFormat/>
    <w:rsid w:val="0096679A"/>
    <w:pPr>
      <w:keepNext/>
      <w:numPr>
        <w:ilvl w:val="3"/>
        <w:numId w:val="1"/>
      </w:numPr>
      <w:spacing w:before="240" w:after="60"/>
      <w:outlineLvl w:val="3"/>
    </w:pPr>
    <w:rPr>
      <w:i/>
      <w:iCs/>
      <w:szCs w:val="28"/>
    </w:rPr>
  </w:style>
  <w:style w:type="paragraph" w:styleId="5">
    <w:name w:val="heading 5"/>
    <w:basedOn w:val="a"/>
    <w:next w:val="a"/>
    <w:qFormat/>
    <w:rsid w:val="0096679A"/>
    <w:pPr>
      <w:numPr>
        <w:ilvl w:val="4"/>
        <w:numId w:val="1"/>
      </w:numPr>
      <w:spacing w:before="240" w:after="60"/>
      <w:outlineLvl w:val="4"/>
    </w:pPr>
    <w:rPr>
      <w:b/>
      <w:bCs/>
      <w:i/>
      <w:iCs/>
      <w:sz w:val="26"/>
      <w:szCs w:val="26"/>
    </w:rPr>
  </w:style>
  <w:style w:type="paragraph" w:styleId="6">
    <w:name w:val="heading 6"/>
    <w:basedOn w:val="a"/>
    <w:next w:val="a"/>
    <w:qFormat/>
    <w:rsid w:val="0096679A"/>
    <w:pPr>
      <w:numPr>
        <w:ilvl w:val="5"/>
        <w:numId w:val="1"/>
      </w:numPr>
      <w:spacing w:before="240" w:after="60"/>
      <w:outlineLvl w:val="5"/>
    </w:pPr>
    <w:rPr>
      <w:b/>
      <w:bCs/>
      <w:szCs w:val="22"/>
    </w:rPr>
  </w:style>
  <w:style w:type="paragraph" w:styleId="7">
    <w:name w:val="heading 7"/>
    <w:basedOn w:val="a"/>
    <w:next w:val="a"/>
    <w:qFormat/>
    <w:rsid w:val="0096679A"/>
    <w:pPr>
      <w:numPr>
        <w:ilvl w:val="6"/>
        <w:numId w:val="1"/>
      </w:numPr>
      <w:spacing w:before="240" w:after="60"/>
      <w:outlineLvl w:val="6"/>
    </w:pPr>
    <w:rPr>
      <w:sz w:val="24"/>
    </w:rPr>
  </w:style>
  <w:style w:type="paragraph" w:styleId="8">
    <w:name w:val="heading 8"/>
    <w:basedOn w:val="a"/>
    <w:next w:val="a"/>
    <w:qFormat/>
    <w:rsid w:val="0096679A"/>
    <w:pPr>
      <w:keepNext/>
      <w:numPr>
        <w:ilvl w:val="7"/>
        <w:numId w:val="1"/>
      </w:numPr>
      <w:spacing w:line="240" w:lineRule="atLeast"/>
      <w:jc w:val="center"/>
      <w:outlineLvl w:val="7"/>
    </w:pPr>
    <w:rPr>
      <w:b/>
      <w:bCs/>
      <w:sz w:val="20"/>
      <w:szCs w:val="20"/>
    </w:rPr>
  </w:style>
  <w:style w:type="paragraph" w:styleId="9">
    <w:name w:val="heading 9"/>
    <w:basedOn w:val="a"/>
    <w:next w:val="a"/>
    <w:qFormat/>
    <w:rsid w:val="0096679A"/>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DERJournal">
    <w:name w:val="Title DER Journal"/>
    <w:rsid w:val="0096679A"/>
    <w:pPr>
      <w:spacing w:before="1600" w:line="280" w:lineRule="atLeast"/>
      <w:jc w:val="center"/>
    </w:pPr>
    <w:rPr>
      <w:b/>
      <w:caps/>
      <w:sz w:val="28"/>
      <w:szCs w:val="24"/>
      <w:lang w:val="en-GB" w:eastAsia="de-DE"/>
    </w:rPr>
  </w:style>
  <w:style w:type="paragraph" w:customStyle="1" w:styleId="AutorsDERJournal">
    <w:name w:val="Autors DER Journal"/>
    <w:rsid w:val="0096679A"/>
    <w:pPr>
      <w:spacing w:before="400" w:after="1300"/>
      <w:jc w:val="center"/>
    </w:pPr>
    <w:rPr>
      <w:i/>
      <w:sz w:val="24"/>
      <w:szCs w:val="24"/>
      <w:lang w:val="de-DE" w:eastAsia="de-DE"/>
    </w:rPr>
  </w:style>
  <w:style w:type="paragraph" w:customStyle="1" w:styleId="AbstracttitleDERJournal">
    <w:name w:val="Abstract title DER Journal"/>
    <w:rsid w:val="0096679A"/>
    <w:pPr>
      <w:spacing w:before="360" w:after="120"/>
    </w:pPr>
    <w:rPr>
      <w:b/>
      <w:sz w:val="22"/>
      <w:szCs w:val="24"/>
      <w:lang w:val="de-DE" w:eastAsia="de-DE"/>
    </w:rPr>
  </w:style>
  <w:style w:type="paragraph" w:customStyle="1" w:styleId="FormulaDERJournal">
    <w:name w:val="Formula DER Journal"/>
    <w:rsid w:val="0096679A"/>
    <w:pPr>
      <w:jc w:val="right"/>
    </w:pPr>
    <w:rPr>
      <w:sz w:val="22"/>
      <w:szCs w:val="24"/>
      <w:lang w:val="de-DE" w:eastAsia="de-DE"/>
    </w:rPr>
  </w:style>
  <w:style w:type="paragraph" w:customStyle="1" w:styleId="ColorfulList-Accent11">
    <w:name w:val="Colorful List - Accent 11"/>
    <w:basedOn w:val="a"/>
    <w:rsid w:val="00597902"/>
    <w:pPr>
      <w:ind w:left="720"/>
      <w:contextualSpacing/>
    </w:pPr>
  </w:style>
  <w:style w:type="character" w:styleId="a3">
    <w:name w:val="Hyperlink"/>
    <w:basedOn w:val="a0"/>
    <w:rsid w:val="00FD5860"/>
    <w:rPr>
      <w:color w:val="0000FF"/>
      <w:u w:val="single"/>
    </w:rPr>
  </w:style>
  <w:style w:type="paragraph" w:customStyle="1" w:styleId="Text">
    <w:name w:val="Text"/>
    <w:basedOn w:val="a"/>
    <w:link w:val="TextChar"/>
    <w:rsid w:val="00A036B3"/>
    <w:pPr>
      <w:widowControl w:val="0"/>
      <w:autoSpaceDE w:val="0"/>
      <w:autoSpaceDN w:val="0"/>
      <w:spacing w:after="0" w:line="252" w:lineRule="auto"/>
      <w:ind w:firstLine="202"/>
    </w:pPr>
    <w:rPr>
      <w:rFonts w:eastAsia="PMingLiU"/>
      <w:sz w:val="20"/>
      <w:szCs w:val="20"/>
      <w:lang w:val="en-US" w:eastAsia="en-US"/>
    </w:rPr>
  </w:style>
  <w:style w:type="paragraph" w:styleId="a4">
    <w:name w:val="Document Map"/>
    <w:basedOn w:val="a"/>
    <w:link w:val="a5"/>
    <w:rsid w:val="00C91230"/>
    <w:pPr>
      <w:shd w:val="clear" w:color="auto" w:fill="000080"/>
      <w:bidi/>
      <w:spacing w:after="0"/>
      <w:jc w:val="left"/>
    </w:pPr>
    <w:rPr>
      <w:rFonts w:ascii="Tahoma" w:hAnsi="Tahoma" w:cs="Tahoma"/>
      <w:sz w:val="20"/>
      <w:szCs w:val="20"/>
      <w:lang w:val="en-US" w:eastAsia="en-US"/>
    </w:rPr>
  </w:style>
  <w:style w:type="character" w:customStyle="1" w:styleId="a5">
    <w:name w:val="Схема документа Знак"/>
    <w:basedOn w:val="a0"/>
    <w:link w:val="a4"/>
    <w:rsid w:val="00C91230"/>
    <w:rPr>
      <w:rFonts w:ascii="Tahoma" w:hAnsi="Tahoma" w:cs="Tahoma"/>
      <w:shd w:val="clear" w:color="auto" w:fill="000080"/>
    </w:rPr>
  </w:style>
  <w:style w:type="character" w:customStyle="1" w:styleId="apple-style-span">
    <w:name w:val="apple-style-span"/>
    <w:basedOn w:val="a0"/>
    <w:rsid w:val="00C91230"/>
  </w:style>
  <w:style w:type="character" w:customStyle="1" w:styleId="apple-converted-space">
    <w:name w:val="apple-converted-space"/>
    <w:basedOn w:val="a0"/>
    <w:rsid w:val="00C91230"/>
  </w:style>
  <w:style w:type="character" w:styleId="a6">
    <w:name w:val="Strong"/>
    <w:basedOn w:val="a0"/>
    <w:qFormat/>
    <w:rsid w:val="00C91230"/>
    <w:rPr>
      <w:b/>
      <w:bCs/>
    </w:rPr>
  </w:style>
  <w:style w:type="paragraph" w:styleId="a7">
    <w:name w:val="header"/>
    <w:basedOn w:val="a"/>
    <w:link w:val="a8"/>
    <w:uiPriority w:val="99"/>
    <w:rsid w:val="00111349"/>
    <w:pPr>
      <w:tabs>
        <w:tab w:val="center" w:pos="4680"/>
        <w:tab w:val="right" w:pos="9360"/>
      </w:tabs>
    </w:pPr>
  </w:style>
  <w:style w:type="character" w:customStyle="1" w:styleId="a8">
    <w:name w:val="Верхний колонтитул Знак"/>
    <w:basedOn w:val="a0"/>
    <w:link w:val="a7"/>
    <w:uiPriority w:val="99"/>
    <w:rsid w:val="00111349"/>
    <w:rPr>
      <w:sz w:val="22"/>
      <w:szCs w:val="24"/>
      <w:lang w:val="en-GB" w:eastAsia="de-DE"/>
    </w:rPr>
  </w:style>
  <w:style w:type="paragraph" w:styleId="a9">
    <w:name w:val="footer"/>
    <w:basedOn w:val="a"/>
    <w:link w:val="aa"/>
    <w:uiPriority w:val="99"/>
    <w:rsid w:val="00111349"/>
    <w:pPr>
      <w:tabs>
        <w:tab w:val="center" w:pos="4680"/>
        <w:tab w:val="right" w:pos="9360"/>
      </w:tabs>
    </w:pPr>
  </w:style>
  <w:style w:type="character" w:customStyle="1" w:styleId="aa">
    <w:name w:val="Нижний колонтитул Знак"/>
    <w:basedOn w:val="a0"/>
    <w:link w:val="a9"/>
    <w:uiPriority w:val="99"/>
    <w:rsid w:val="00111349"/>
    <w:rPr>
      <w:sz w:val="22"/>
      <w:szCs w:val="24"/>
      <w:lang w:val="en-GB" w:eastAsia="de-DE"/>
    </w:rPr>
  </w:style>
  <w:style w:type="paragraph" w:styleId="ab">
    <w:name w:val="Balloon Text"/>
    <w:basedOn w:val="a"/>
    <w:link w:val="ac"/>
    <w:uiPriority w:val="99"/>
    <w:rsid w:val="00111349"/>
    <w:pPr>
      <w:spacing w:after="0"/>
    </w:pPr>
    <w:rPr>
      <w:rFonts w:ascii="Tahoma" w:hAnsi="Tahoma" w:cs="Tahoma"/>
      <w:sz w:val="16"/>
      <w:szCs w:val="16"/>
    </w:rPr>
  </w:style>
  <w:style w:type="character" w:customStyle="1" w:styleId="ac">
    <w:name w:val="Текст выноски Знак"/>
    <w:basedOn w:val="a0"/>
    <w:link w:val="ab"/>
    <w:uiPriority w:val="99"/>
    <w:rsid w:val="00111349"/>
    <w:rPr>
      <w:rFonts w:ascii="Tahoma" w:hAnsi="Tahoma" w:cs="Tahoma"/>
      <w:sz w:val="16"/>
      <w:szCs w:val="16"/>
      <w:lang w:val="en-GB" w:eastAsia="de-DE"/>
    </w:rPr>
  </w:style>
  <w:style w:type="character" w:customStyle="1" w:styleId="p1">
    <w:name w:val="p1"/>
    <w:basedOn w:val="a0"/>
    <w:rsid w:val="00DF2748"/>
  </w:style>
  <w:style w:type="character" w:styleId="ad">
    <w:name w:val="Emphasis"/>
    <w:basedOn w:val="a0"/>
    <w:uiPriority w:val="20"/>
    <w:qFormat/>
    <w:rsid w:val="00DF2748"/>
    <w:rPr>
      <w:i/>
      <w:iCs/>
    </w:rPr>
  </w:style>
  <w:style w:type="paragraph" w:styleId="ae">
    <w:name w:val="Body Text"/>
    <w:basedOn w:val="a"/>
    <w:link w:val="af"/>
    <w:rsid w:val="00D766CB"/>
    <w:pPr>
      <w:spacing w:after="0"/>
    </w:pPr>
    <w:rPr>
      <w:i/>
      <w:iCs/>
      <w:lang w:val="en-US" w:eastAsia="en-US"/>
    </w:rPr>
  </w:style>
  <w:style w:type="character" w:customStyle="1" w:styleId="af">
    <w:name w:val="Основной текст Знак"/>
    <w:basedOn w:val="a0"/>
    <w:link w:val="ae"/>
    <w:rsid w:val="00D766CB"/>
    <w:rPr>
      <w:i/>
      <w:iCs/>
      <w:sz w:val="22"/>
      <w:szCs w:val="24"/>
    </w:rPr>
  </w:style>
  <w:style w:type="paragraph" w:styleId="af0">
    <w:name w:val="footnote text"/>
    <w:basedOn w:val="a"/>
    <w:link w:val="af1"/>
    <w:uiPriority w:val="99"/>
    <w:rsid w:val="005C2BE3"/>
    <w:rPr>
      <w:sz w:val="20"/>
      <w:szCs w:val="20"/>
    </w:rPr>
  </w:style>
  <w:style w:type="character" w:customStyle="1" w:styleId="af1">
    <w:name w:val="Текст сноски Знак"/>
    <w:basedOn w:val="a0"/>
    <w:link w:val="af0"/>
    <w:uiPriority w:val="99"/>
    <w:rsid w:val="005C2BE3"/>
    <w:rPr>
      <w:lang w:val="en-GB" w:eastAsia="de-DE"/>
    </w:rPr>
  </w:style>
  <w:style w:type="character" w:styleId="af2">
    <w:name w:val="footnote reference"/>
    <w:basedOn w:val="a0"/>
    <w:rsid w:val="005C2BE3"/>
    <w:rPr>
      <w:vertAlign w:val="superscript"/>
    </w:rPr>
  </w:style>
  <w:style w:type="paragraph" w:customStyle="1" w:styleId="WW-BodyText2">
    <w:name w:val="WW-Body Text 2"/>
    <w:basedOn w:val="a"/>
    <w:rsid w:val="000E3323"/>
    <w:pPr>
      <w:suppressAutoHyphens/>
      <w:autoSpaceDE w:val="0"/>
      <w:spacing w:after="0"/>
    </w:pPr>
    <w:rPr>
      <w:color w:val="000000"/>
      <w:sz w:val="24"/>
      <w:szCs w:val="20"/>
      <w:lang w:val="en-US" w:eastAsia="ar-SA"/>
    </w:rPr>
  </w:style>
  <w:style w:type="character" w:styleId="af3">
    <w:name w:val="page number"/>
    <w:basedOn w:val="a0"/>
    <w:rsid w:val="000E3323"/>
  </w:style>
  <w:style w:type="paragraph" w:styleId="af4">
    <w:name w:val="Normal (Web)"/>
    <w:basedOn w:val="a"/>
    <w:uiPriority w:val="99"/>
    <w:rsid w:val="00CE783C"/>
    <w:pPr>
      <w:spacing w:before="100" w:beforeAutospacing="1" w:after="100" w:afterAutospacing="1"/>
      <w:jc w:val="left"/>
    </w:pPr>
    <w:rPr>
      <w:sz w:val="24"/>
      <w:lang w:val="en-US" w:eastAsia="en-US"/>
    </w:rPr>
  </w:style>
  <w:style w:type="character" w:customStyle="1" w:styleId="WW8Num4z3">
    <w:name w:val="WW8Num4z3"/>
    <w:rsid w:val="002A73A1"/>
    <w:rPr>
      <w:rFonts w:ascii="Symbol" w:hAnsi="Symbol"/>
    </w:rPr>
  </w:style>
  <w:style w:type="paragraph" w:styleId="af5">
    <w:name w:val="endnote text"/>
    <w:basedOn w:val="a"/>
    <w:link w:val="af6"/>
    <w:rsid w:val="00830B8F"/>
    <w:pPr>
      <w:spacing w:after="0"/>
    </w:pPr>
    <w:rPr>
      <w:sz w:val="20"/>
      <w:szCs w:val="20"/>
    </w:rPr>
  </w:style>
  <w:style w:type="character" w:customStyle="1" w:styleId="af6">
    <w:name w:val="Текст концевой сноски Знак"/>
    <w:basedOn w:val="a0"/>
    <w:link w:val="af5"/>
    <w:rsid w:val="00830B8F"/>
    <w:rPr>
      <w:lang w:val="en-GB" w:eastAsia="de-DE"/>
    </w:rPr>
  </w:style>
  <w:style w:type="character" w:styleId="af7">
    <w:name w:val="endnote reference"/>
    <w:basedOn w:val="a0"/>
    <w:rsid w:val="00830B8F"/>
    <w:rPr>
      <w:vertAlign w:val="superscript"/>
    </w:rPr>
  </w:style>
  <w:style w:type="paragraph" w:styleId="af8">
    <w:name w:val="caption"/>
    <w:aliases w:val="sumber"/>
    <w:basedOn w:val="a"/>
    <w:next w:val="a"/>
    <w:link w:val="af9"/>
    <w:uiPriority w:val="35"/>
    <w:unhideWhenUsed/>
    <w:qFormat/>
    <w:rsid w:val="002456E6"/>
    <w:pPr>
      <w:spacing w:after="200" w:line="276" w:lineRule="auto"/>
      <w:jc w:val="left"/>
    </w:pPr>
    <w:rPr>
      <w:rFonts w:ascii="Calibri" w:eastAsia="Calibri" w:hAnsi="Calibri"/>
      <w:b/>
      <w:bCs/>
      <w:sz w:val="20"/>
      <w:szCs w:val="20"/>
      <w:lang w:val="en-US" w:eastAsia="en-US"/>
    </w:rPr>
  </w:style>
  <w:style w:type="character" w:customStyle="1" w:styleId="af9">
    <w:name w:val="Название объекта Знак"/>
    <w:aliases w:val="sumber Знак"/>
    <w:basedOn w:val="a0"/>
    <w:link w:val="af8"/>
    <w:uiPriority w:val="35"/>
    <w:rsid w:val="002456E6"/>
    <w:rPr>
      <w:rFonts w:ascii="Calibri" w:eastAsia="Calibri" w:hAnsi="Calibri"/>
      <w:b/>
      <w:bCs/>
    </w:rPr>
  </w:style>
  <w:style w:type="paragraph" w:customStyle="1" w:styleId="Style7">
    <w:name w:val="Style 7"/>
    <w:rsid w:val="00F93F5F"/>
    <w:pPr>
      <w:widowControl w:val="0"/>
      <w:autoSpaceDE w:val="0"/>
      <w:autoSpaceDN w:val="0"/>
      <w:spacing w:line="300" w:lineRule="auto"/>
      <w:jc w:val="both"/>
    </w:pPr>
    <w:rPr>
      <w:lang w:eastAsia="ja-JP"/>
    </w:rPr>
  </w:style>
  <w:style w:type="paragraph" w:styleId="afa">
    <w:name w:val="List Paragraph"/>
    <w:aliases w:val="Daftar Acuan,List Paragraph1,List Paragraph11,Paragraph no,List Paragraph2,awal"/>
    <w:basedOn w:val="a"/>
    <w:uiPriority w:val="34"/>
    <w:qFormat/>
    <w:rsid w:val="004B60F1"/>
    <w:pPr>
      <w:spacing w:after="200" w:line="276" w:lineRule="auto"/>
      <w:ind w:left="720"/>
      <w:contextualSpacing/>
      <w:jc w:val="left"/>
    </w:pPr>
    <w:rPr>
      <w:rFonts w:eastAsia="Times New Roman"/>
      <w:szCs w:val="22"/>
      <w:lang w:val="id-ID" w:eastAsia="en-US"/>
    </w:rPr>
  </w:style>
  <w:style w:type="paragraph" w:customStyle="1" w:styleId="FormatUI">
    <w:name w:val="Format UI"/>
    <w:link w:val="FormatUIChar"/>
    <w:qFormat/>
    <w:rsid w:val="004B60F1"/>
    <w:pPr>
      <w:spacing w:line="360" w:lineRule="auto"/>
      <w:ind w:firstLine="851"/>
      <w:contextualSpacing/>
      <w:jc w:val="both"/>
    </w:pPr>
    <w:rPr>
      <w:rFonts w:eastAsia="Times New Roman"/>
      <w:sz w:val="24"/>
      <w:szCs w:val="22"/>
      <w:lang w:val="id-ID" w:eastAsia="id-ID"/>
    </w:rPr>
  </w:style>
  <w:style w:type="character" w:customStyle="1" w:styleId="FormatUIChar">
    <w:name w:val="Format UI Char"/>
    <w:basedOn w:val="a0"/>
    <w:link w:val="FormatUI"/>
    <w:rsid w:val="004B60F1"/>
    <w:rPr>
      <w:rFonts w:eastAsia="Times New Roman"/>
      <w:sz w:val="24"/>
      <w:szCs w:val="22"/>
      <w:lang w:val="id-ID" w:eastAsia="id-ID"/>
    </w:rPr>
  </w:style>
  <w:style w:type="paragraph" w:styleId="HTML">
    <w:name w:val="HTML Preformatted"/>
    <w:basedOn w:val="a"/>
    <w:link w:val="HTML0"/>
    <w:rsid w:val="0055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left"/>
    </w:pPr>
    <w:rPr>
      <w:rFonts w:ascii="GulimChe" w:eastAsia="GulimChe" w:hAnsi="GulimChe" w:cs="GulimChe"/>
      <w:sz w:val="24"/>
      <w:lang w:val="en-US" w:eastAsia="ko-KR"/>
    </w:rPr>
  </w:style>
  <w:style w:type="character" w:customStyle="1" w:styleId="HTML0">
    <w:name w:val="Стандартный HTML Знак"/>
    <w:basedOn w:val="a0"/>
    <w:link w:val="HTML"/>
    <w:rsid w:val="0055374E"/>
    <w:rPr>
      <w:rFonts w:ascii="GulimChe" w:eastAsia="GulimChe" w:hAnsi="GulimChe" w:cs="GulimChe"/>
      <w:sz w:val="24"/>
      <w:szCs w:val="24"/>
      <w:lang w:eastAsia="ko-KR"/>
    </w:rPr>
  </w:style>
  <w:style w:type="paragraph" w:customStyle="1" w:styleId="afb">
    <w:name w:val="바탕글"/>
    <w:basedOn w:val="a"/>
    <w:rsid w:val="0055374E"/>
    <w:pPr>
      <w:snapToGrid w:val="0"/>
      <w:spacing w:after="0" w:line="384" w:lineRule="auto"/>
    </w:pPr>
    <w:rPr>
      <w:rFonts w:ascii="함초롬바탕" w:eastAsia="함초롬바탕" w:hAnsi="함초롬바탕" w:cs="Gulim"/>
      <w:color w:val="000000"/>
      <w:sz w:val="20"/>
      <w:szCs w:val="20"/>
      <w:lang w:val="en-US" w:eastAsia="ko-KR"/>
    </w:rPr>
  </w:style>
  <w:style w:type="character" w:styleId="afc">
    <w:name w:val="Placeholder Text"/>
    <w:basedOn w:val="a0"/>
    <w:uiPriority w:val="99"/>
    <w:semiHidden/>
    <w:rsid w:val="0055374E"/>
    <w:rPr>
      <w:color w:val="808080"/>
    </w:rPr>
  </w:style>
  <w:style w:type="table" w:styleId="afd">
    <w:name w:val="Table Grid"/>
    <w:basedOn w:val="a1"/>
    <w:uiPriority w:val="59"/>
    <w:rsid w:val="002A7A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rsid w:val="00CA5DA0"/>
  </w:style>
  <w:style w:type="paragraph" w:customStyle="1" w:styleId="Journalmaintext">
    <w:name w:val="Journal maintext"/>
    <w:basedOn w:val="a"/>
    <w:link w:val="JournalmaintextChar"/>
    <w:qFormat/>
    <w:rsid w:val="009A596D"/>
    <w:pPr>
      <w:spacing w:after="240" w:line="480" w:lineRule="auto"/>
      <w:ind w:firstLine="720"/>
    </w:pPr>
    <w:rPr>
      <w:rFonts w:eastAsia="SimSun"/>
      <w:sz w:val="24"/>
      <w:lang w:val="en-US" w:eastAsia="zh-CN"/>
    </w:rPr>
  </w:style>
  <w:style w:type="character" w:customStyle="1" w:styleId="JournalmaintextChar">
    <w:name w:val="Journal maintext Char"/>
    <w:link w:val="Journalmaintext"/>
    <w:rsid w:val="009A596D"/>
    <w:rPr>
      <w:rFonts w:eastAsia="SimSun"/>
      <w:sz w:val="24"/>
      <w:szCs w:val="24"/>
      <w:lang w:eastAsia="zh-CN"/>
    </w:rPr>
  </w:style>
  <w:style w:type="paragraph" w:customStyle="1" w:styleId="Content">
    <w:name w:val="Content"/>
    <w:aliases w:val="1st paragraph (FYP)"/>
    <w:basedOn w:val="a"/>
    <w:link w:val="ContentChar"/>
    <w:qFormat/>
    <w:rsid w:val="00CB4395"/>
    <w:pPr>
      <w:spacing w:after="200" w:line="360" w:lineRule="auto"/>
      <w:ind w:firstLine="720"/>
    </w:pPr>
    <w:rPr>
      <w:rFonts w:eastAsia="Calibri"/>
      <w:sz w:val="24"/>
      <w:szCs w:val="18"/>
      <w:lang w:val="en-MY" w:eastAsia="en-US"/>
    </w:rPr>
  </w:style>
  <w:style w:type="character" w:customStyle="1" w:styleId="ContentChar">
    <w:name w:val="Content Char"/>
    <w:aliases w:val="1st paragraph (FYP) Char"/>
    <w:link w:val="Content"/>
    <w:rsid w:val="00CB4395"/>
    <w:rPr>
      <w:rFonts w:eastAsia="Calibri"/>
      <w:sz w:val="24"/>
      <w:szCs w:val="18"/>
      <w:lang w:val="en-MY"/>
    </w:rPr>
  </w:style>
  <w:style w:type="paragraph" w:styleId="20">
    <w:name w:val="Body Text 2"/>
    <w:basedOn w:val="a"/>
    <w:link w:val="21"/>
    <w:rsid w:val="00E95F33"/>
    <w:pPr>
      <w:spacing w:line="480" w:lineRule="auto"/>
      <w:jc w:val="left"/>
    </w:pPr>
    <w:rPr>
      <w:rFonts w:eastAsia="Times New Roman"/>
      <w:sz w:val="24"/>
      <w:lang w:val="id-ID" w:eastAsia="en-US"/>
    </w:rPr>
  </w:style>
  <w:style w:type="character" w:customStyle="1" w:styleId="21">
    <w:name w:val="Основной текст 2 Знак"/>
    <w:basedOn w:val="a0"/>
    <w:link w:val="20"/>
    <w:rsid w:val="00E95F33"/>
    <w:rPr>
      <w:rFonts w:eastAsia="Times New Roman"/>
      <w:sz w:val="24"/>
      <w:szCs w:val="24"/>
      <w:lang w:val="id-ID"/>
    </w:rPr>
  </w:style>
  <w:style w:type="character" w:customStyle="1" w:styleId="shorttext">
    <w:name w:val="short_text"/>
    <w:basedOn w:val="a0"/>
    <w:rsid w:val="00E95F33"/>
  </w:style>
  <w:style w:type="character" w:customStyle="1" w:styleId="yiv3264496809">
    <w:name w:val="yiv3264496809"/>
    <w:basedOn w:val="a0"/>
    <w:rsid w:val="00077687"/>
  </w:style>
  <w:style w:type="paragraph" w:customStyle="1" w:styleId="DecimalAligned">
    <w:name w:val="Decimal Aligned"/>
    <w:basedOn w:val="a"/>
    <w:uiPriority w:val="40"/>
    <w:qFormat/>
    <w:rsid w:val="00547E0F"/>
    <w:pPr>
      <w:tabs>
        <w:tab w:val="decimal" w:pos="360"/>
      </w:tabs>
      <w:spacing w:after="200" w:line="276" w:lineRule="auto"/>
      <w:jc w:val="left"/>
    </w:pPr>
    <w:rPr>
      <w:rFonts w:asciiTheme="minorHAnsi" w:eastAsiaTheme="minorEastAsia" w:hAnsiTheme="minorHAnsi" w:cstheme="minorBidi"/>
      <w:szCs w:val="22"/>
      <w:lang w:val="en-US" w:eastAsia="en-US"/>
    </w:rPr>
  </w:style>
  <w:style w:type="table" w:customStyle="1" w:styleId="LightShading1">
    <w:name w:val="Light Shading1"/>
    <w:basedOn w:val="a1"/>
    <w:uiPriority w:val="60"/>
    <w:rsid w:val="00547E0F"/>
    <w:rPr>
      <w:rFonts w:asciiTheme="minorHAnsi" w:eastAsiaTheme="minorEastAsia"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e">
    <w:name w:val="No Spacing"/>
    <w:uiPriority w:val="1"/>
    <w:qFormat/>
    <w:rsid w:val="004D4074"/>
    <w:rPr>
      <w:rFonts w:asciiTheme="minorHAnsi" w:eastAsiaTheme="minorEastAsia" w:hAnsiTheme="minorHAnsi" w:cstheme="minorBidi"/>
      <w:sz w:val="22"/>
      <w:szCs w:val="22"/>
    </w:rPr>
  </w:style>
  <w:style w:type="character" w:customStyle="1" w:styleId="TextChar">
    <w:name w:val="Text Char"/>
    <w:basedOn w:val="a0"/>
    <w:link w:val="Text"/>
    <w:rsid w:val="004D4074"/>
    <w:rPr>
      <w:rFonts w:eastAsia="PMingLiU"/>
    </w:rPr>
  </w:style>
  <w:style w:type="character" w:styleId="aff">
    <w:name w:val="Subtle Emphasis"/>
    <w:basedOn w:val="a0"/>
    <w:uiPriority w:val="19"/>
    <w:qFormat/>
    <w:rsid w:val="004D4074"/>
    <w:rPr>
      <w:rFonts w:eastAsiaTheme="minorEastAsia" w:cstheme="minorBidi"/>
      <w:bCs w:val="0"/>
      <w:i/>
      <w:iCs/>
      <w:color w:val="808080" w:themeColor="text1" w:themeTint="7F"/>
      <w:szCs w:val="22"/>
      <w:lang w:val="en-US"/>
    </w:rPr>
  </w:style>
  <w:style w:type="paragraph" w:customStyle="1" w:styleId="TableTitle">
    <w:name w:val="Table Title"/>
    <w:basedOn w:val="a"/>
    <w:rsid w:val="00824584"/>
    <w:pPr>
      <w:autoSpaceDE w:val="0"/>
      <w:autoSpaceDN w:val="0"/>
      <w:spacing w:after="0"/>
      <w:jc w:val="center"/>
    </w:pPr>
    <w:rPr>
      <w:smallCaps/>
      <w:sz w:val="16"/>
      <w:szCs w:val="16"/>
      <w:lang w:val="en-US" w:eastAsia="en-US"/>
    </w:rPr>
  </w:style>
  <w:style w:type="character" w:customStyle="1" w:styleId="atn">
    <w:name w:val="atn"/>
    <w:basedOn w:val="a0"/>
    <w:rsid w:val="00B82021"/>
  </w:style>
  <w:style w:type="character" w:customStyle="1" w:styleId="Para0PTafter2LinesChar">
    <w:name w:val="Para0PTafter2Lines Char"/>
    <w:basedOn w:val="a0"/>
    <w:link w:val="Para0PTafter2Lines"/>
    <w:locked/>
    <w:rsid w:val="00244A33"/>
    <w:rPr>
      <w:sz w:val="28"/>
      <w:szCs w:val="28"/>
    </w:rPr>
  </w:style>
  <w:style w:type="paragraph" w:customStyle="1" w:styleId="Para0PTafter2Lines">
    <w:name w:val="Para0PTafter2Lines"/>
    <w:basedOn w:val="a"/>
    <w:link w:val="Para0PTafter2LinesChar"/>
    <w:rsid w:val="00244A33"/>
    <w:pPr>
      <w:spacing w:after="600" w:line="360" w:lineRule="auto"/>
      <w:ind w:firstLine="720"/>
    </w:pPr>
    <w:rPr>
      <w:sz w:val="28"/>
      <w:szCs w:val="28"/>
      <w:lang w:val="en-US" w:eastAsia="en-US"/>
    </w:rPr>
  </w:style>
  <w:style w:type="paragraph" w:customStyle="1" w:styleId="Normal9ptjustified">
    <w:name w:val="Normal+9 pt+justified"/>
    <w:basedOn w:val="Para0PTafter2Lines"/>
    <w:link w:val="Normal9ptjustifiedChar"/>
    <w:rsid w:val="00244A33"/>
    <w:pPr>
      <w:keepNext/>
      <w:spacing w:after="0" w:line="240" w:lineRule="auto"/>
      <w:ind w:firstLine="0"/>
    </w:pPr>
  </w:style>
  <w:style w:type="character" w:customStyle="1" w:styleId="Normal9ptjustifiedChar">
    <w:name w:val="Normal+9 pt+justified Char"/>
    <w:basedOn w:val="Para0PTafter2LinesChar"/>
    <w:link w:val="Normal9ptjustified"/>
    <w:locked/>
    <w:rsid w:val="00244A33"/>
    <w:rPr>
      <w:sz w:val="28"/>
      <w:szCs w:val="28"/>
    </w:rPr>
  </w:style>
  <w:style w:type="paragraph" w:customStyle="1" w:styleId="17-SciencePG-Level2-Multiple-line">
    <w:name w:val="17-SciencePG-Level2-Multiple-line"/>
    <w:basedOn w:val="a"/>
    <w:qFormat/>
    <w:rsid w:val="00523523"/>
    <w:pPr>
      <w:widowControl w:val="0"/>
      <w:adjustRightInd w:val="0"/>
      <w:snapToGrid w:val="0"/>
      <w:spacing w:before="160" w:after="160" w:line="240" w:lineRule="exact"/>
      <w:ind w:left="361" w:hangingChars="180" w:hanging="361"/>
      <w:jc w:val="left"/>
    </w:pPr>
    <w:rPr>
      <w:rFonts w:eastAsia="Times New Roman"/>
      <w:b/>
      <w:i/>
      <w:kern w:val="2"/>
      <w:sz w:val="20"/>
      <w:szCs w:val="20"/>
      <w:lang w:val="en-US" w:eastAsia="zh-CN"/>
    </w:rPr>
  </w:style>
  <w:style w:type="paragraph" w:customStyle="1" w:styleId="20-SciencePG-Text">
    <w:name w:val="20-SciencePG-Text"/>
    <w:basedOn w:val="a"/>
    <w:qFormat/>
    <w:rsid w:val="005311E9"/>
    <w:pPr>
      <w:widowControl w:val="0"/>
      <w:adjustRightInd w:val="0"/>
      <w:snapToGrid w:val="0"/>
      <w:spacing w:after="0" w:line="240" w:lineRule="exact"/>
      <w:ind w:firstLineChars="100" w:firstLine="100"/>
    </w:pPr>
    <w:rPr>
      <w:rFonts w:eastAsia="Times New Roman"/>
      <w:kern w:val="2"/>
      <w:sz w:val="20"/>
      <w:szCs w:val="20"/>
      <w:lang w:val="en-US" w:eastAsia="zh-CN"/>
    </w:rPr>
  </w:style>
  <w:style w:type="character" w:styleId="aff0">
    <w:name w:val="FollowedHyperlink"/>
    <w:basedOn w:val="a0"/>
    <w:semiHidden/>
    <w:unhideWhenUsed/>
    <w:rsid w:val="00024FF6"/>
    <w:rPr>
      <w:color w:val="800080" w:themeColor="followedHyperlink"/>
      <w:u w:val="single"/>
    </w:rPr>
  </w:style>
  <w:style w:type="character" w:styleId="aff1">
    <w:name w:val="annotation reference"/>
    <w:uiPriority w:val="99"/>
    <w:rsid w:val="007970B8"/>
    <w:rPr>
      <w:sz w:val="18"/>
      <w:szCs w:val="18"/>
    </w:rPr>
  </w:style>
  <w:style w:type="paragraph" w:styleId="aff2">
    <w:name w:val="annotation text"/>
    <w:basedOn w:val="a"/>
    <w:link w:val="aff3"/>
    <w:uiPriority w:val="99"/>
    <w:rsid w:val="007970B8"/>
    <w:pPr>
      <w:spacing w:after="0"/>
      <w:jc w:val="left"/>
    </w:pPr>
    <w:rPr>
      <w:rFonts w:eastAsia="Times New Roman"/>
      <w:sz w:val="24"/>
      <w:lang w:val="en-US" w:eastAsia="en-US"/>
    </w:rPr>
  </w:style>
  <w:style w:type="character" w:customStyle="1" w:styleId="aff3">
    <w:name w:val="Текст примечания Знак"/>
    <w:basedOn w:val="a0"/>
    <w:link w:val="aff2"/>
    <w:uiPriority w:val="99"/>
    <w:rsid w:val="007970B8"/>
    <w:rPr>
      <w:rFonts w:eastAsia="Times New Roman"/>
      <w:sz w:val="24"/>
      <w:szCs w:val="24"/>
    </w:rPr>
  </w:style>
  <w:style w:type="character" w:customStyle="1" w:styleId="ColorfulList-Accent1Char">
    <w:name w:val="Colorful List - Accent 1 Char"/>
    <w:aliases w:val="HEADING 1 Char,List Paragraph1 Char,Daftar Acuan Char,List Paragraph11 Char,List Paragraph Char,Paragraph no Char,List Paragraph2 Char,awal Char"/>
    <w:link w:val="-1"/>
    <w:uiPriority w:val="34"/>
    <w:rsid w:val="006158C4"/>
    <w:rPr>
      <w:rFonts w:eastAsia="Times New Roman"/>
      <w:sz w:val="22"/>
      <w:szCs w:val="22"/>
      <w:lang w:val="id-ID"/>
    </w:rPr>
  </w:style>
  <w:style w:type="table" w:styleId="-1">
    <w:name w:val="Colorful List Accent 1"/>
    <w:basedOn w:val="a1"/>
    <w:link w:val="ColorfulList-Accent1Char"/>
    <w:uiPriority w:val="34"/>
    <w:semiHidden/>
    <w:unhideWhenUsed/>
    <w:rsid w:val="006158C4"/>
    <w:rPr>
      <w:rFonts w:eastAsia="Times New Roman"/>
      <w:sz w:val="22"/>
      <w:szCs w:val="22"/>
      <w:lang w:val="id-ID"/>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BodyChar">
    <w:name w:val="Body Char"/>
    <w:link w:val="BodyCharChar"/>
    <w:rsid w:val="006158C4"/>
    <w:pPr>
      <w:tabs>
        <w:tab w:val="left" w:pos="567"/>
      </w:tabs>
      <w:jc w:val="both"/>
    </w:pPr>
    <w:rPr>
      <w:rFonts w:ascii="Times" w:eastAsia="Times New Roman" w:hAnsi="Times"/>
      <w:color w:val="000000"/>
      <w:sz w:val="22"/>
      <w:szCs w:val="22"/>
      <w:lang w:val="en-GB"/>
    </w:rPr>
  </w:style>
  <w:style w:type="character" w:customStyle="1" w:styleId="BodyCharChar">
    <w:name w:val="Body Char Char"/>
    <w:link w:val="BodyChar"/>
    <w:rsid w:val="006158C4"/>
    <w:rPr>
      <w:rFonts w:ascii="Times" w:eastAsia="Times New Roman" w:hAnsi="Times"/>
      <w:color w:val="000000"/>
      <w:sz w:val="22"/>
      <w:szCs w:val="22"/>
      <w:lang w:val="en-GB"/>
    </w:rPr>
  </w:style>
  <w:style w:type="paragraph" w:styleId="aff4">
    <w:name w:val="annotation subject"/>
    <w:basedOn w:val="aff2"/>
    <w:next w:val="aff2"/>
    <w:link w:val="aff5"/>
    <w:semiHidden/>
    <w:unhideWhenUsed/>
    <w:rsid w:val="00E43E07"/>
    <w:pPr>
      <w:spacing w:after="120"/>
      <w:jc w:val="both"/>
    </w:pPr>
    <w:rPr>
      <w:rFonts w:eastAsia="MS Mincho"/>
      <w:b/>
      <w:bCs/>
      <w:sz w:val="20"/>
      <w:szCs w:val="20"/>
      <w:lang w:val="en-GB" w:eastAsia="de-DE"/>
    </w:rPr>
  </w:style>
  <w:style w:type="character" w:customStyle="1" w:styleId="aff5">
    <w:name w:val="Тема примечания Знак"/>
    <w:basedOn w:val="aff3"/>
    <w:link w:val="aff4"/>
    <w:semiHidden/>
    <w:rsid w:val="00E43E07"/>
    <w:rPr>
      <w:rFonts w:eastAsia="Times New Roman"/>
      <w:b/>
      <w:bCs/>
      <w:sz w:val="24"/>
      <w:szCs w:val="24"/>
      <w:lang w:val="en-GB" w:eastAsia="de-DE"/>
    </w:rPr>
  </w:style>
  <w:style w:type="table" w:customStyle="1" w:styleId="LightShading2">
    <w:name w:val="Light Shading2"/>
    <w:basedOn w:val="a1"/>
    <w:uiPriority w:val="60"/>
    <w:rsid w:val="00D17379"/>
    <w:rPr>
      <w:rFonts w:eastAsia="Times New Roman"/>
      <w:color w:val="000000" w:themeColor="text1" w:themeShade="BF"/>
      <w:lang w:val="id-ID"/>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EXTs">
    <w:name w:val="TEXTs"/>
    <w:basedOn w:val="ae"/>
    <w:link w:val="TEXTsChar"/>
    <w:qFormat/>
    <w:rsid w:val="00292860"/>
    <w:pPr>
      <w:spacing w:after="120" w:line="228" w:lineRule="auto"/>
      <w:ind w:firstLine="288"/>
    </w:pPr>
    <w:rPr>
      <w:rFonts w:eastAsia="SimSun"/>
      <w:i w:val="0"/>
      <w:iCs w:val="0"/>
      <w:spacing w:val="-1"/>
    </w:rPr>
  </w:style>
  <w:style w:type="character" w:customStyle="1" w:styleId="TEXTsChar">
    <w:name w:val="TEXTs Char"/>
    <w:basedOn w:val="af"/>
    <w:link w:val="TEXTs"/>
    <w:rsid w:val="00292860"/>
    <w:rPr>
      <w:rFonts w:eastAsia="SimSun"/>
      <w:i w:val="0"/>
      <w:iCs w:val="0"/>
      <w:spacing w:val="-1"/>
      <w:sz w:val="22"/>
      <w:szCs w:val="24"/>
    </w:rPr>
  </w:style>
  <w:style w:type="paragraph" w:customStyle="1" w:styleId="bulletlist">
    <w:name w:val="bullet list"/>
    <w:basedOn w:val="ae"/>
    <w:rsid w:val="00292860"/>
    <w:pPr>
      <w:numPr>
        <w:numId w:val="3"/>
      </w:numPr>
      <w:spacing w:after="120" w:line="228" w:lineRule="auto"/>
    </w:pPr>
    <w:rPr>
      <w:rFonts w:eastAsia="SimSun"/>
      <w:i w:val="0"/>
      <w:iCs w:val="0"/>
      <w:spacing w:val="-1"/>
      <w:sz w:val="20"/>
      <w:szCs w:val="20"/>
    </w:rPr>
  </w:style>
  <w:style w:type="paragraph" w:styleId="aff6">
    <w:name w:val="Title"/>
    <w:basedOn w:val="a"/>
    <w:next w:val="a"/>
    <w:link w:val="aff7"/>
    <w:qFormat/>
    <w:rsid w:val="00292860"/>
    <w:pPr>
      <w:jc w:val="center"/>
    </w:pPr>
    <w:rPr>
      <w:noProof/>
      <w:sz w:val="40"/>
      <w:szCs w:val="40"/>
      <w:lang w:val="en-US" w:eastAsia="en-US"/>
    </w:rPr>
  </w:style>
  <w:style w:type="character" w:customStyle="1" w:styleId="aff7">
    <w:name w:val="Заголовок Знак"/>
    <w:basedOn w:val="a0"/>
    <w:link w:val="aff6"/>
    <w:rsid w:val="00292860"/>
    <w:rPr>
      <w:noProof/>
      <w:sz w:val="40"/>
      <w:szCs w:val="40"/>
    </w:rPr>
  </w:style>
  <w:style w:type="paragraph" w:customStyle="1" w:styleId="figurecaption">
    <w:name w:val="figure caption"/>
    <w:rsid w:val="00292860"/>
    <w:pPr>
      <w:numPr>
        <w:numId w:val="5"/>
      </w:numPr>
      <w:spacing w:before="80" w:after="200"/>
      <w:jc w:val="center"/>
    </w:pPr>
    <w:rPr>
      <w:rFonts w:eastAsia="SimSun"/>
      <w:noProof/>
      <w:sz w:val="16"/>
      <w:szCs w:val="16"/>
      <w:lang w:eastAsia="ja-JP"/>
    </w:rPr>
  </w:style>
  <w:style w:type="paragraph" w:customStyle="1" w:styleId="Figurescaption">
    <w:name w:val="Figures caption"/>
    <w:basedOn w:val="figurecaption"/>
    <w:link w:val="FigurescaptionChar"/>
    <w:qFormat/>
    <w:rsid w:val="00292860"/>
  </w:style>
  <w:style w:type="character" w:customStyle="1" w:styleId="FigurescaptionChar">
    <w:name w:val="Figures caption Char"/>
    <w:basedOn w:val="a0"/>
    <w:link w:val="Figurescaption"/>
    <w:rsid w:val="00292860"/>
    <w:rPr>
      <w:rFonts w:eastAsia="SimSun"/>
      <w:noProof/>
      <w:sz w:val="16"/>
      <w:szCs w:val="16"/>
      <w:lang w:eastAsia="ja-JP"/>
    </w:rPr>
  </w:style>
  <w:style w:type="paragraph" w:customStyle="1" w:styleId="EndNoteBibliography">
    <w:name w:val="EndNote Bibliography"/>
    <w:basedOn w:val="a"/>
    <w:link w:val="EndNoteBibliographyChar"/>
    <w:rsid w:val="001E771A"/>
    <w:rPr>
      <w:lang w:val="de-DE"/>
    </w:rPr>
  </w:style>
  <w:style w:type="character" w:customStyle="1" w:styleId="EndNoteBibliographyChar">
    <w:name w:val="EndNote Bibliography Char"/>
    <w:basedOn w:val="a0"/>
    <w:link w:val="EndNoteBibliography"/>
    <w:rsid w:val="0093451D"/>
    <w:rPr>
      <w:sz w:val="22"/>
      <w:szCs w:val="24"/>
      <w:lang w:val="de-DE" w:eastAsia="de-DE"/>
    </w:rPr>
  </w:style>
  <w:style w:type="paragraph" w:customStyle="1" w:styleId="tablehead">
    <w:name w:val="table head"/>
    <w:uiPriority w:val="99"/>
    <w:rsid w:val="00AA1C3B"/>
    <w:pPr>
      <w:numPr>
        <w:numId w:val="7"/>
      </w:numPr>
      <w:spacing w:before="240" w:after="120" w:line="216" w:lineRule="auto"/>
      <w:jc w:val="center"/>
    </w:pPr>
    <w:rPr>
      <w:rFonts w:eastAsia="Times New Roman"/>
      <w:smallCaps/>
      <w:noProof/>
      <w:sz w:val="16"/>
      <w:szCs w:val="16"/>
    </w:rPr>
  </w:style>
  <w:style w:type="table" w:customStyle="1" w:styleId="ListTable6Colorful1">
    <w:name w:val="List Table 6 Colorful1"/>
    <w:basedOn w:val="a1"/>
    <w:uiPriority w:val="51"/>
    <w:rsid w:val="00AA1C3B"/>
    <w:pPr>
      <w:jc w:val="center"/>
    </w:pPr>
    <w:rPr>
      <w:rFonts w:eastAsia="Times New Roman"/>
      <w:color w:val="000000" w:themeColor="text1"/>
      <w:sz w:val="24"/>
    </w:rPr>
    <w:tblPr>
      <w:tblStyleRowBandSize w:val="1"/>
      <w:tblStyleColBandSize w:val="1"/>
      <w:tblBorders>
        <w:top w:val="single" w:sz="12" w:space="0" w:color="auto"/>
        <w:bottom w:val="single" w:sz="12" w:space="0" w:color="auto"/>
      </w:tblBorders>
    </w:tblPr>
    <w:tcPr>
      <w:shd w:val="clear" w:color="auto" w:fill="auto"/>
      <w:vAlign w:val="center"/>
    </w:tc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a"/>
    <w:rsid w:val="001171A4"/>
    <w:pPr>
      <w:numPr>
        <w:numId w:val="10"/>
      </w:numPr>
      <w:spacing w:after="0"/>
    </w:pPr>
    <w:rPr>
      <w:sz w:val="20"/>
      <w:szCs w:val="20"/>
      <w:lang w:val="en-US" w:eastAsia="en-US"/>
    </w:rPr>
  </w:style>
  <w:style w:type="character" w:customStyle="1" w:styleId="aff8">
    <w:name w:val="コメント文字列 (文字)"/>
    <w:uiPriority w:val="99"/>
    <w:rsid w:val="00804447"/>
    <w:rPr>
      <w:rFonts w:ascii="Calibri" w:eastAsia="Times New Roman" w:hAnsi="Calibri"/>
      <w:lang w:eastAsia="id-ID"/>
    </w:rPr>
  </w:style>
  <w:style w:type="character" w:customStyle="1" w:styleId="aff9">
    <w:name w:val="本文 (文字)"/>
    <w:rsid w:val="00804447"/>
    <w:rPr>
      <w:i/>
      <w:iCs/>
      <w:sz w:val="22"/>
      <w:szCs w:val="24"/>
    </w:rPr>
  </w:style>
  <w:style w:type="paragraph" w:customStyle="1" w:styleId="TAMainText">
    <w:name w:val="TA_Main_Text"/>
    <w:basedOn w:val="a"/>
    <w:link w:val="TAMainTextChar"/>
    <w:rsid w:val="00804447"/>
    <w:pPr>
      <w:spacing w:after="0" w:line="220" w:lineRule="exact"/>
      <w:ind w:firstLine="187"/>
    </w:pPr>
    <w:rPr>
      <w:rFonts w:ascii="Times" w:hAnsi="Times"/>
      <w:sz w:val="18"/>
      <w:szCs w:val="20"/>
      <w:lang w:eastAsia="en-US"/>
    </w:rPr>
  </w:style>
  <w:style w:type="character" w:customStyle="1" w:styleId="TAMainTextChar">
    <w:name w:val="TA_Main_Text Char"/>
    <w:link w:val="TAMainText"/>
    <w:rsid w:val="00804447"/>
    <w:rPr>
      <w:rFonts w:ascii="Times" w:hAnsi="Times"/>
      <w:sz w:val="18"/>
    </w:rPr>
  </w:style>
  <w:style w:type="character" w:customStyle="1" w:styleId="tgc">
    <w:name w:val="_tgc"/>
    <w:rsid w:val="00110E1B"/>
  </w:style>
  <w:style w:type="paragraph" w:customStyle="1" w:styleId="Afiliation">
    <w:name w:val="Afiliation"/>
    <w:basedOn w:val="a"/>
    <w:rsid w:val="00BE4B5F"/>
    <w:pPr>
      <w:spacing w:after="0"/>
      <w:jc w:val="center"/>
    </w:pPr>
    <w:rPr>
      <w:i/>
      <w:iCs/>
      <w:sz w:val="24"/>
      <w:lang w:val="en-US" w:eastAsia="en-US"/>
    </w:rPr>
  </w:style>
  <w:style w:type="paragraph" w:customStyle="1" w:styleId="PostHeadPara">
    <w:name w:val="PostHeadPara"/>
    <w:basedOn w:val="a"/>
    <w:qFormat/>
    <w:rsid w:val="004770A2"/>
    <w:pPr>
      <w:spacing w:after="0" w:line="270" w:lineRule="atLeast"/>
    </w:pPr>
    <w:rPr>
      <w:rFonts w:ascii="Linux Libertine O" w:eastAsia="Cambria" w:hAnsi="Linux Libertine O" w:cs="Linux Libertine O"/>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418">
      <w:bodyDiv w:val="1"/>
      <w:marLeft w:val="0"/>
      <w:marRight w:val="0"/>
      <w:marTop w:val="0"/>
      <w:marBottom w:val="0"/>
      <w:divBdr>
        <w:top w:val="none" w:sz="0" w:space="0" w:color="auto"/>
        <w:left w:val="none" w:sz="0" w:space="0" w:color="auto"/>
        <w:bottom w:val="none" w:sz="0" w:space="0" w:color="auto"/>
        <w:right w:val="none" w:sz="0" w:space="0" w:color="auto"/>
      </w:divBdr>
    </w:div>
    <w:div w:id="140971677">
      <w:bodyDiv w:val="1"/>
      <w:marLeft w:val="0"/>
      <w:marRight w:val="0"/>
      <w:marTop w:val="0"/>
      <w:marBottom w:val="0"/>
      <w:divBdr>
        <w:top w:val="none" w:sz="0" w:space="0" w:color="auto"/>
        <w:left w:val="none" w:sz="0" w:space="0" w:color="auto"/>
        <w:bottom w:val="none" w:sz="0" w:space="0" w:color="auto"/>
        <w:right w:val="none" w:sz="0" w:space="0" w:color="auto"/>
      </w:divBdr>
    </w:div>
    <w:div w:id="156583006">
      <w:bodyDiv w:val="1"/>
      <w:marLeft w:val="0"/>
      <w:marRight w:val="0"/>
      <w:marTop w:val="0"/>
      <w:marBottom w:val="0"/>
      <w:divBdr>
        <w:top w:val="none" w:sz="0" w:space="0" w:color="auto"/>
        <w:left w:val="none" w:sz="0" w:space="0" w:color="auto"/>
        <w:bottom w:val="none" w:sz="0" w:space="0" w:color="auto"/>
        <w:right w:val="none" w:sz="0" w:space="0" w:color="auto"/>
      </w:divBdr>
    </w:div>
    <w:div w:id="424351365">
      <w:bodyDiv w:val="1"/>
      <w:marLeft w:val="0"/>
      <w:marRight w:val="0"/>
      <w:marTop w:val="0"/>
      <w:marBottom w:val="0"/>
      <w:divBdr>
        <w:top w:val="none" w:sz="0" w:space="0" w:color="auto"/>
        <w:left w:val="none" w:sz="0" w:space="0" w:color="auto"/>
        <w:bottom w:val="none" w:sz="0" w:space="0" w:color="auto"/>
        <w:right w:val="none" w:sz="0" w:space="0" w:color="auto"/>
      </w:divBdr>
    </w:div>
    <w:div w:id="466509464">
      <w:bodyDiv w:val="1"/>
      <w:marLeft w:val="0"/>
      <w:marRight w:val="0"/>
      <w:marTop w:val="0"/>
      <w:marBottom w:val="0"/>
      <w:divBdr>
        <w:top w:val="none" w:sz="0" w:space="0" w:color="auto"/>
        <w:left w:val="none" w:sz="0" w:space="0" w:color="auto"/>
        <w:bottom w:val="none" w:sz="0" w:space="0" w:color="auto"/>
        <w:right w:val="none" w:sz="0" w:space="0" w:color="auto"/>
      </w:divBdr>
    </w:div>
    <w:div w:id="517278613">
      <w:bodyDiv w:val="1"/>
      <w:marLeft w:val="0"/>
      <w:marRight w:val="0"/>
      <w:marTop w:val="0"/>
      <w:marBottom w:val="0"/>
      <w:divBdr>
        <w:top w:val="none" w:sz="0" w:space="0" w:color="auto"/>
        <w:left w:val="none" w:sz="0" w:space="0" w:color="auto"/>
        <w:bottom w:val="none" w:sz="0" w:space="0" w:color="auto"/>
        <w:right w:val="none" w:sz="0" w:space="0" w:color="auto"/>
      </w:divBdr>
    </w:div>
    <w:div w:id="783109667">
      <w:bodyDiv w:val="1"/>
      <w:marLeft w:val="0"/>
      <w:marRight w:val="0"/>
      <w:marTop w:val="0"/>
      <w:marBottom w:val="0"/>
      <w:divBdr>
        <w:top w:val="none" w:sz="0" w:space="0" w:color="auto"/>
        <w:left w:val="none" w:sz="0" w:space="0" w:color="auto"/>
        <w:bottom w:val="none" w:sz="0" w:space="0" w:color="auto"/>
        <w:right w:val="none" w:sz="0" w:space="0" w:color="auto"/>
      </w:divBdr>
    </w:div>
    <w:div w:id="883441738">
      <w:bodyDiv w:val="1"/>
      <w:marLeft w:val="0"/>
      <w:marRight w:val="0"/>
      <w:marTop w:val="0"/>
      <w:marBottom w:val="0"/>
      <w:divBdr>
        <w:top w:val="none" w:sz="0" w:space="0" w:color="auto"/>
        <w:left w:val="none" w:sz="0" w:space="0" w:color="auto"/>
        <w:bottom w:val="none" w:sz="0" w:space="0" w:color="auto"/>
        <w:right w:val="none" w:sz="0" w:space="0" w:color="auto"/>
      </w:divBdr>
    </w:div>
    <w:div w:id="1445154228">
      <w:bodyDiv w:val="1"/>
      <w:marLeft w:val="0"/>
      <w:marRight w:val="0"/>
      <w:marTop w:val="0"/>
      <w:marBottom w:val="0"/>
      <w:divBdr>
        <w:top w:val="none" w:sz="0" w:space="0" w:color="auto"/>
        <w:left w:val="none" w:sz="0" w:space="0" w:color="auto"/>
        <w:bottom w:val="none" w:sz="0" w:space="0" w:color="auto"/>
        <w:right w:val="none" w:sz="0" w:space="0" w:color="auto"/>
      </w:divBdr>
    </w:div>
    <w:div w:id="1540897864">
      <w:bodyDiv w:val="1"/>
      <w:marLeft w:val="0"/>
      <w:marRight w:val="0"/>
      <w:marTop w:val="0"/>
      <w:marBottom w:val="0"/>
      <w:divBdr>
        <w:top w:val="none" w:sz="0" w:space="0" w:color="auto"/>
        <w:left w:val="none" w:sz="0" w:space="0" w:color="auto"/>
        <w:bottom w:val="none" w:sz="0" w:space="0" w:color="auto"/>
        <w:right w:val="none" w:sz="0" w:space="0" w:color="auto"/>
      </w:divBdr>
    </w:div>
    <w:div w:id="1594169084">
      <w:bodyDiv w:val="1"/>
      <w:marLeft w:val="0"/>
      <w:marRight w:val="0"/>
      <w:marTop w:val="0"/>
      <w:marBottom w:val="0"/>
      <w:divBdr>
        <w:top w:val="none" w:sz="0" w:space="0" w:color="auto"/>
        <w:left w:val="none" w:sz="0" w:space="0" w:color="auto"/>
        <w:bottom w:val="none" w:sz="0" w:space="0" w:color="auto"/>
        <w:right w:val="none" w:sz="0" w:space="0" w:color="auto"/>
      </w:divBdr>
    </w:div>
    <w:div w:id="1670937428">
      <w:bodyDiv w:val="1"/>
      <w:marLeft w:val="0"/>
      <w:marRight w:val="0"/>
      <w:marTop w:val="0"/>
      <w:marBottom w:val="0"/>
      <w:divBdr>
        <w:top w:val="none" w:sz="0" w:space="0" w:color="auto"/>
        <w:left w:val="none" w:sz="0" w:space="0" w:color="auto"/>
        <w:bottom w:val="none" w:sz="0" w:space="0" w:color="auto"/>
        <w:right w:val="none" w:sz="0" w:space="0" w:color="auto"/>
      </w:divBdr>
    </w:div>
    <w:div w:id="1694526041">
      <w:bodyDiv w:val="1"/>
      <w:marLeft w:val="0"/>
      <w:marRight w:val="0"/>
      <w:marTop w:val="0"/>
      <w:marBottom w:val="0"/>
      <w:divBdr>
        <w:top w:val="none" w:sz="0" w:space="0" w:color="auto"/>
        <w:left w:val="none" w:sz="0" w:space="0" w:color="auto"/>
        <w:bottom w:val="none" w:sz="0" w:space="0" w:color="auto"/>
        <w:right w:val="none" w:sz="0" w:space="0" w:color="auto"/>
      </w:divBdr>
    </w:div>
    <w:div w:id="1701779714">
      <w:bodyDiv w:val="1"/>
      <w:marLeft w:val="0"/>
      <w:marRight w:val="0"/>
      <w:marTop w:val="0"/>
      <w:marBottom w:val="0"/>
      <w:divBdr>
        <w:top w:val="none" w:sz="0" w:space="0" w:color="auto"/>
        <w:left w:val="none" w:sz="0" w:space="0" w:color="auto"/>
        <w:bottom w:val="none" w:sz="0" w:space="0" w:color="auto"/>
        <w:right w:val="none" w:sz="0" w:space="0" w:color="auto"/>
      </w:divBdr>
    </w:div>
    <w:div w:id="1792481248">
      <w:bodyDiv w:val="1"/>
      <w:marLeft w:val="0"/>
      <w:marRight w:val="0"/>
      <w:marTop w:val="0"/>
      <w:marBottom w:val="0"/>
      <w:divBdr>
        <w:top w:val="none" w:sz="0" w:space="0" w:color="auto"/>
        <w:left w:val="none" w:sz="0" w:space="0" w:color="auto"/>
        <w:bottom w:val="none" w:sz="0" w:space="0" w:color="auto"/>
        <w:right w:val="none" w:sz="0" w:space="0" w:color="auto"/>
      </w:divBdr>
    </w:div>
    <w:div w:id="179347560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hyperlink" Target="https://doi.org/10.48550/arXiv.2004.13347" TargetMode="External"/><Relationship Id="rId3" Type="http://schemas.openxmlformats.org/officeDocument/2006/relationships/styles" Target="styles.xml"/><Relationship Id="rId21" Type="http://schemas.openxmlformats.org/officeDocument/2006/relationships/hyperlink" Target="https://arxiv.org/format/2101.0921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proceedings.neurips.cc/paper/2013/file/e3796ae838835da0b6f6ea37bcf8bcb7-Pape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reativecommons.org/licenses/by-nc/4.0/" TargetMode="External"/><Relationship Id="rId20" Type="http://schemas.openxmlformats.org/officeDocument/2006/relationships/hyperlink" Target="https://translated.turbopages.org/proxy_u/en-ru.ru.e0373bd7-634e4895-2c067191-74722d776562/https/www.quora.com/What-is-the-contrast-of-componential-analysis-and-cognitive-semant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rxiv.org/format/2107.05201" TargetMode="External"/><Relationship Id="rId23"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s://proceedings.neurips.cc/paper/2013/file/e3796ae838835da0b6f6ea37bcf8bcb7-Paper.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4.xml"/></Relationships>
</file>

<file path=word/_rels/endnotes.xml.rels><?xml version="1.0" encoding="UTF-8" standalone="yes"?>
<Relationships xmlns="http://schemas.openxmlformats.org/package/2006/relationships"><Relationship Id="rId1" Type="http://schemas.openxmlformats.org/officeDocument/2006/relationships/hyperlink" Target="mailto:tel9033176642@yahoo.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Ton16</b:Tag>
    <b:SourceType>ConferenceProceedings</b:SourceType>
    <b:Guid>{666AD27E-1B2F-480C-95EF-6488AF3D121A}</b:Guid>
    <b:Author>
      <b:Author>
        <b:NameList>
          <b:Person>
            <b:Last>Tong</b:Last>
            <b:First>Zhou</b:First>
          </b:Person>
          <b:Person>
            <b:Last>Zhang</b:Last>
            <b:First>Haiyi</b:First>
          </b:Person>
        </b:NameList>
      </b:Author>
    </b:Author>
    <b:Title>A Text Mining Research Based on LDA Topic Modelling</b:Title>
    <b:Year>2016</b:Year>
    <b:ConferenceName>The Sixth International Conference on Computer Science, Engineering and Information Technology</b:ConferenceName>
    <b:City>Vienna</b:City>
    <b:RefOrder>8</b:RefOrder>
  </b:Source>
  <b:Source>
    <b:Tag>Lim12</b:Tag>
    <b:SourceType>ConferenceProceedings</b:SourceType>
    <b:Guid>{2C05C7F8-D44B-4DC5-90A6-461E045C44F5}</b:Guid>
    <b:Author>
      <b:Author>
        <b:NameList>
          <b:Person>
            <b:Last>Lim</b:Last>
            <b:First>Kar</b:First>
            <b:Middle>Wai</b:Middle>
          </b:Person>
          <b:Person>
            <b:Last>Buntine</b:Last>
            <b:First>Wray</b:First>
          </b:Person>
        </b:NameList>
      </b:Author>
    </b:Author>
    <b:Title>Twitter Opinion Topic Model: Extracting Product Opinions from Tweets by Leveraging Hashtags and Sentiment Lexicon</b:Title>
    <b:Year>2012</b:Year>
    <b:ConferenceName>The 21st ACM International Conference on Information and Knowledge Management</b:ConferenceName>
    <b:City>Maui</b:City>
    <b:RefOrder>9</b:RefOrder>
  </b:Source>
  <b:Source>
    <b:Tag>Put17</b:Tag>
    <b:SourceType>JournalArticle</b:SourceType>
    <b:Guid>{A54928F3-78EE-4A56-A812-882D5D1A7D5E}</b:Guid>
    <b:Author>
      <b:Author>
        <b:NameList>
          <b:Person>
            <b:Last>Putri</b:Last>
            <b:First>I.</b:First>
            <b:Middle>R.</b:Middle>
          </b:Person>
          <b:Person>
            <b:Last>Kusumaningrum</b:Last>
            <b:First>R.</b:First>
          </b:Person>
        </b:NameList>
      </b:Author>
    </b:Author>
    <b:Title>Latent Dirichlet Allocation (LDA) for Sentiment Analysis Toward Tourism Review in Indonesia</b:Title>
    <b:JournalName>Journal of Physics: Conference Series</b:JournalName>
    <b:Year>2017</b:Year>
    <b:Pages>1-6</b:Pages>
    <b:Volume>801</b:Volume>
    <b:Issue>1</b:Issue>
    <b:RefOrder>10</b:RefOrder>
  </b:Source>
  <b:Source>
    <b:Tag>Phi16</b:Tag>
    <b:SourceType>JournalArticle</b:SourceType>
    <b:Guid>{2972F98D-9946-4D28-A2C8-A3B308EF0052}</b:Guid>
    <b:Author>
      <b:Author>
        <b:NameList>
          <b:Person>
            <b:Last>Philander</b:Last>
            <b:First>K.</b:First>
          </b:Person>
          <b:Person>
            <b:Last>Zhong</b:Last>
            <b:First>Y.</b:First>
          </b:Person>
        </b:NameList>
      </b:Author>
    </b:Author>
    <b:Title>Twitter sentiment analysis: Capturing sentiment from integrated resort tweets</b:Title>
    <b:Pages>16-24</b:Pages>
    <b:Year>2016</b:Year>
    <b:JournalName>International Journal of Hospitality Management</b:JournalName>
    <b:Volume>55</b:Volume>
    <b:RefOrder>3</b:RefOrder>
  </b:Source>
  <b:Source>
    <b:Tag>Ble12</b:Tag>
    <b:SourceType>JournalArticle</b:SourceType>
    <b:Guid>{7287BF6C-5877-4A3E-8971-55909AAC077F}</b:Guid>
    <b:Author>
      <b:Author>
        <b:NameList>
          <b:Person>
            <b:Last>Blei</b:Last>
            <b:First>D.</b:First>
            <b:Middle>M.</b:Middle>
          </b:Person>
        </b:NameList>
      </b:Author>
    </b:Author>
    <b:Title>Probabilistic Topic Model</b:Title>
    <b:JournalName>Communications of the ACM</b:JournalName>
    <b:Year>2012</b:Year>
    <b:Pages>77-84</b:Pages>
    <b:Volume>55</b:Volume>
    <b:Issue>4</b:Issue>
    <b:RefOrder>17</b:RefOrder>
  </b:Source>
  <b:Source>
    <b:Tag>Gru11</b:Tag>
    <b:SourceType>JournalArticle</b:SourceType>
    <b:Guid>{B180914D-F2DB-480F-86B0-9444669786DA}</b:Guid>
    <b:Author>
      <b:Author>
        <b:NameList>
          <b:Person>
            <b:Last>Gruen</b:Last>
            <b:First>B.</b:First>
          </b:Person>
          <b:Person>
            <b:Last>Hornik</b:Last>
            <b:First>K.</b:First>
          </b:Person>
        </b:NameList>
      </b:Author>
    </b:Author>
    <b:Title>topicmodels: An R Package for Fitting Topic Models</b:Title>
    <b:JournalName>Journal of Statistical Software</b:JournalName>
    <b:Year>2011</b:Year>
    <b:Pages>1-30</b:Pages>
    <b:Volume>40</b:Volume>
    <b:Issue>13</b:Issue>
    <b:RefOrder>18</b:RefOrder>
  </b:Source>
  <b:Source>
    <b:Tag>Hsu02</b:Tag>
    <b:SourceType>ConferenceProceedings</b:SourceType>
    <b:Guid>{04FEBCC4-B9BB-46A1-B30A-EDAAA0D20BB3}</b:Guid>
    <b:Title>A comparison of methods for multiclass support vector machines</b:Title>
    <b:Year>2002</b:Year>
    <b:Pages>415-425</b:Pages>
    <b:Author>
      <b:Author>
        <b:NameList>
          <b:Person>
            <b:Last>Hsu</b:Last>
            <b:First>C.</b:First>
            <b:Middle>W.</b:Middle>
          </b:Person>
          <b:Person>
            <b:Last>Lin</b:Last>
            <b:First>C.</b:First>
            <b:Middle>J.</b:Middle>
          </b:Person>
        </b:NameList>
      </b:Author>
    </b:Author>
    <b:ConferenceName>IEEE Transactions on Neural Networks</b:ConferenceName>
    <b:City>Taiwan</b:City>
    <b:Publisher>IEEE</b:Publisher>
    <b:Volume>13</b:Volume>
    <b:RefOrder>20</b:RefOrder>
  </b:Source>
  <b:Source>
    <b:Tag>Wan14</b:Tag>
    <b:SourceType>BookSection</b:SourceType>
    <b:Guid>{8E90F42C-FC90-4A8A-91BB-800213CBF406}</b:Guid>
    <b:Title>Multi-class Support Vector Machines</b:Title>
    <b:Pages>23–49</b:Pages>
    <b:Year>2014</b:Year>
    <b:City>Basel</b:City>
    <b:Publisher>Springer International Publishing</b:Publisher>
    <b:Author>
      <b:Author>
        <b:NameList>
          <b:Person>
            <b:Last>Wang</b:Last>
            <b:First>Z.</b:First>
          </b:Person>
          <b:Person>
            <b:Last>Xue</b:Last>
            <b:First>X.</b:First>
          </b:Person>
        </b:NameList>
      </b:Author>
      <b:BookAuthor>
        <b:NameList>
          <b:Person>
            <b:Last>Ma</b:Last>
            <b:First>Y.</b:First>
          </b:Person>
          <b:Person>
            <b:Last>Guo</b:Last>
            <b:First>G.</b:First>
          </b:Person>
        </b:NameList>
      </b:BookAuthor>
    </b:Author>
    <b:BookTitle>Support Vector Machines Applications</b:BookTitle>
    <b:RefOrder>21</b:RefOrder>
  </b:Source>
  <b:Source>
    <b:Tag>Rok15</b:Tag>
    <b:SourceType>Book</b:SourceType>
    <b:Guid>{CCD46CFA-29C7-49E6-80B9-E7936DA07458}</b:Guid>
    <b:Title>Data Mining with Decision Trees: Theory and Applications</b:Title>
    <b:Year>2015</b:Year>
    <b:Publisher>World Scientific Publishing</b:Publisher>
    <b:City>Singapore</b:City>
    <b:Author>
      <b:Author>
        <b:NameList>
          <b:Person>
            <b:Last>Rokach</b:Last>
            <b:First>L.</b:First>
          </b:Person>
          <b:Person>
            <b:Last>Maimon</b:Last>
            <b:First>O.</b:First>
          </b:Person>
        </b:NameList>
      </b:Author>
    </b:Author>
    <b:Edition>2nd</b:Edition>
    <b:RefOrder>23</b:RefOrder>
  </b:Source>
</b:Sources>
</file>

<file path=customXml/itemProps1.xml><?xml version="1.0" encoding="utf-8"?>
<ds:datastoreItem xmlns:ds="http://schemas.openxmlformats.org/officeDocument/2006/customXml" ds:itemID="{07379A88-E512-4D32-8E3B-107648412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4599</Words>
  <Characters>26215</Characters>
  <Application>Microsoft Office Word</Application>
  <DocSecurity>0</DocSecurity>
  <Lines>218</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TEMPLATE FOR A PUBLICATION IN THE “INTERNATIONAL JOURNAL OF DISTRIBUTED ENERGY RESOURCES”</vt:lpstr>
      <vt:lpstr>TEMPLATE FOR A PUBLICATION IN THE “INTERNATIONAL JOURNAL OF DISTRIBUTED ENERGY RESOURCES”</vt:lpstr>
    </vt:vector>
  </TitlesOfParts>
  <Company>Grizli777</Company>
  <LinksUpToDate>false</LinksUpToDate>
  <CharactersWithSpaces>30753</CharactersWithSpaces>
  <SharedDoc>false</SharedDoc>
  <HLinks>
    <vt:vector size="18" baseType="variant">
      <vt:variant>
        <vt:i4>4980814</vt:i4>
      </vt:variant>
      <vt:variant>
        <vt:i4>6</vt:i4>
      </vt:variant>
      <vt:variant>
        <vt:i4>0</vt:i4>
      </vt:variant>
      <vt:variant>
        <vt:i4>5</vt:i4>
      </vt:variant>
      <vt:variant>
        <vt:lpwstr>http://www.ncbi.nlm.nih.gov/</vt:lpwstr>
      </vt:variant>
      <vt:variant>
        <vt:lpwstr/>
      </vt:variant>
      <vt:variant>
        <vt:i4>6029366</vt:i4>
      </vt:variant>
      <vt:variant>
        <vt:i4>3</vt:i4>
      </vt:variant>
      <vt:variant>
        <vt:i4>0</vt:i4>
      </vt:variant>
      <vt:variant>
        <vt:i4>5</vt:i4>
      </vt:variant>
      <vt:variant>
        <vt:lpwstr>http://en.wikipedia.org/wiki/Stop_codon</vt:lpwstr>
      </vt:variant>
      <vt:variant>
        <vt:lpwstr/>
      </vt:variant>
      <vt:variant>
        <vt:i4>1048684</vt:i4>
      </vt:variant>
      <vt:variant>
        <vt:i4>0</vt:i4>
      </vt:variant>
      <vt:variant>
        <vt:i4>0</vt:i4>
      </vt:variant>
      <vt:variant>
        <vt:i4>5</vt:i4>
      </vt:variant>
      <vt:variant>
        <vt:lpwstr>http://en.wikipedia.org/wiki/Start_codon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A PUBLICATION IN THE “INTERNATIONAL JOURNAL OF DISTRIBUTED ENERGY RESOURCES”</dc:title>
  <dc:creator>Eko Adhi  Setiawan</dc:creator>
  <cp:lastModifiedBy>Packard bell</cp:lastModifiedBy>
  <cp:revision>4</cp:revision>
  <cp:lastPrinted>2022-12-06T08:29:00Z</cp:lastPrinted>
  <dcterms:created xsi:type="dcterms:W3CDTF">2022-12-05T19:35:00Z</dcterms:created>
  <dcterms:modified xsi:type="dcterms:W3CDTF">2022-12-06T08:46:00Z</dcterms:modified>
</cp:coreProperties>
</file>